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A2" w:rsidRDefault="00D84BA2" w:rsidP="00D84BA2">
      <w:pPr>
        <w:autoSpaceDE w:val="0"/>
        <w:autoSpaceDN w:val="0"/>
        <w:adjustRightInd w:val="0"/>
        <w:spacing w:before="120"/>
        <w:jc w:val="center"/>
        <w:rPr>
          <w:b/>
          <w:i/>
          <w:sz w:val="26"/>
          <w:szCs w:val="26"/>
        </w:rPr>
      </w:pPr>
      <w:r w:rsidRPr="00D84BA2">
        <w:rPr>
          <w:b/>
          <w:i/>
          <w:sz w:val="26"/>
          <w:szCs w:val="26"/>
        </w:rPr>
        <w:t>Az Országos Környezetvédelmi Tanács álláspontja a Kormány részére készített, „</w:t>
      </w:r>
      <w:r w:rsidRPr="00D84BA2">
        <w:rPr>
          <w:b/>
          <w:bCs/>
          <w:i/>
          <w:sz w:val="26"/>
          <w:szCs w:val="26"/>
        </w:rPr>
        <w:t xml:space="preserve">a 2014-2020 közötti források felhasználásának előfeltételeiként meghatározott, a vizeket érintő ex-ante </w:t>
      </w:r>
      <w:proofErr w:type="spellStart"/>
      <w:r w:rsidRPr="00D84BA2">
        <w:rPr>
          <w:b/>
          <w:bCs/>
          <w:i/>
          <w:sz w:val="26"/>
          <w:szCs w:val="26"/>
        </w:rPr>
        <w:t>kondicionalitások</w:t>
      </w:r>
      <w:proofErr w:type="spellEnd"/>
      <w:r w:rsidRPr="00D84BA2">
        <w:rPr>
          <w:b/>
          <w:bCs/>
          <w:i/>
          <w:sz w:val="26"/>
          <w:szCs w:val="26"/>
        </w:rPr>
        <w:t xml:space="preserve"> teljesítéséről” témájú </w:t>
      </w:r>
      <w:r w:rsidRPr="00D84BA2">
        <w:rPr>
          <w:b/>
          <w:i/>
          <w:sz w:val="26"/>
          <w:szCs w:val="26"/>
        </w:rPr>
        <w:t>előterjesztésről.</w:t>
      </w:r>
    </w:p>
    <w:p w:rsidR="00D84BA2" w:rsidRPr="00D84BA2" w:rsidRDefault="00D84BA2" w:rsidP="00D84BA2">
      <w:pPr>
        <w:autoSpaceDE w:val="0"/>
        <w:autoSpaceDN w:val="0"/>
        <w:adjustRightInd w:val="0"/>
        <w:spacing w:before="120"/>
        <w:jc w:val="center"/>
        <w:rPr>
          <w:b/>
          <w:i/>
          <w:sz w:val="26"/>
          <w:szCs w:val="26"/>
        </w:rPr>
      </w:pPr>
    </w:p>
    <w:p w:rsidR="00D84BA2" w:rsidRPr="00184D26" w:rsidRDefault="00D84BA2" w:rsidP="00D84BA2">
      <w:pPr>
        <w:jc w:val="both"/>
      </w:pPr>
    </w:p>
    <w:p w:rsidR="00D84BA2" w:rsidRPr="00184D26" w:rsidRDefault="00D84BA2" w:rsidP="00D84BA2">
      <w:pPr>
        <w:numPr>
          <w:ilvl w:val="0"/>
          <w:numId w:val="9"/>
        </w:numPr>
        <w:jc w:val="both"/>
      </w:pPr>
      <w:r w:rsidRPr="00184D26">
        <w:t xml:space="preserve">Az OKT feltétlenül szükségesnek tartja és támogatja a víz szektort érintő ex-ante </w:t>
      </w:r>
      <w:proofErr w:type="spellStart"/>
      <w:r w:rsidRPr="00184D26">
        <w:t>kondicionalitások</w:t>
      </w:r>
      <w:proofErr w:type="spellEnd"/>
      <w:r w:rsidRPr="00184D26">
        <w:t xml:space="preserve"> teljesítéséről szóló kormányhatározati előterjesztés elfogadását. Jelen előterjesztés a Vízgyűjtő-gazdálkodási tervezés következő időszakának megalapozója lehet.</w:t>
      </w:r>
    </w:p>
    <w:p w:rsidR="00D84BA2" w:rsidRPr="00184D26" w:rsidRDefault="00D84BA2" w:rsidP="00D84BA2">
      <w:pPr>
        <w:numPr>
          <w:ilvl w:val="0"/>
          <w:numId w:val="9"/>
        </w:numPr>
        <w:jc w:val="both"/>
      </w:pPr>
      <w:r w:rsidRPr="00184D26">
        <w:t>A</w:t>
      </w:r>
      <w:r>
        <w:t xml:space="preserve">z Európai Bizottság helyesen </w:t>
      </w:r>
      <w:r w:rsidRPr="00184D26">
        <w:t>ismerte</w:t>
      </w:r>
      <w:r>
        <w:t xml:space="preserve"> föl</w:t>
      </w:r>
      <w:r w:rsidRPr="00184D26">
        <w:t xml:space="preserve">, hogy a vízkészlet olyan jelentős természeti erőforrás, aminek a megőrzéséhez és fenntartható használatához a takarékosságra ösztönző víz-árpolitika és a vizek védelmének kereteit rögzítő Vízgyűjtő-gazdálkodási tervek (VGT) megléte </w:t>
      </w:r>
      <w:r>
        <w:t>a vizekkel</w:t>
      </w:r>
      <w:r w:rsidRPr="00184D26">
        <w:t xml:space="preserve"> kapcsolatos minden </w:t>
      </w:r>
      <w:r>
        <w:t xml:space="preserve">fejlesztés, beavatkozás, </w:t>
      </w:r>
      <w:r w:rsidRPr="00184D26">
        <w:t>beruházás esetében előfeltétel kell, hogy legyen, ezért a 2014-2020 közötti EU támogatások felhasználásához a tagállamok számára ezt kötelező elvárásként fogalmazta meg.</w:t>
      </w:r>
    </w:p>
    <w:p w:rsidR="00D84BA2" w:rsidRPr="00184D26" w:rsidRDefault="00D84BA2" w:rsidP="00D84BA2">
      <w:pPr>
        <w:numPr>
          <w:ilvl w:val="0"/>
          <w:numId w:val="9"/>
        </w:numPr>
        <w:jc w:val="both"/>
      </w:pPr>
      <w:r w:rsidRPr="00184D26">
        <w:t xml:space="preserve">A megfelelő víz-árpolitika hiányát az EU Bizottság a magyarországi VGT értékelésekor is kiemelte. </w:t>
      </w:r>
    </w:p>
    <w:p w:rsidR="00D84BA2" w:rsidRPr="00184D26" w:rsidRDefault="00D84BA2" w:rsidP="00D84BA2">
      <w:pPr>
        <w:numPr>
          <w:ilvl w:val="0"/>
          <w:numId w:val="9"/>
        </w:numPr>
        <w:jc w:val="both"/>
      </w:pPr>
      <w:r w:rsidRPr="00184D26">
        <w:t>Az uniós vízpolitika a Víz Keretirányelvben testesül meg, amit hazánk a 221/2004-es számú kormányrendeletben hirdetett ki a vízgyűjtő-gazdálkodás egyes szabályairól. A Vízgyűjtő-gazdálkodási Tervezés 2013 és 2015 közötti időszaka különös fontossággal bír, miután a 2009-ben lezárult tervezési időszak tapasztalatait felhasználva most lehetőség lesz megalapozottabb tervezés kivitelezésére. Ez előfeltétele annak, hogy a VGT 2015 utáni végrehajtása az előzőnél hatékonyabb legyen. Ezért az OKT mindenképpen szükségesnek tartja az előterjesztés 1-es mellékletében lévő határozat-tervezetben nevesített gazdasági elemzés elvégzését.</w:t>
      </w:r>
    </w:p>
    <w:p w:rsidR="00D84BA2" w:rsidRPr="00184D26" w:rsidRDefault="00D84BA2" w:rsidP="00D84BA2">
      <w:pPr>
        <w:numPr>
          <w:ilvl w:val="0"/>
          <w:numId w:val="9"/>
        </w:numPr>
        <w:jc w:val="both"/>
      </w:pPr>
      <w:r w:rsidRPr="00184D26">
        <w:t xml:space="preserve">A Kormányhatározat elfogadását ezen kívül az OKT azért tartja helyesnek, mert az ex-ante </w:t>
      </w:r>
      <w:proofErr w:type="spellStart"/>
      <w:r w:rsidRPr="00184D26">
        <w:t>kondicionalitásként</w:t>
      </w:r>
      <w:proofErr w:type="spellEnd"/>
      <w:r w:rsidRPr="00184D26">
        <w:t xml:space="preserve"> aposztrofált megnevezés az összes 2014-2020 közötti, vízügyet érintő EU támogatás felhasználásának előfeltétele, és nemcsak az előterjesztő Vidékfejlesztési Minisztérium által kezelt felelősségi területeken van szerepe, hanem szinte valamennyi EU-s forrás felhasználása terén. </w:t>
      </w:r>
    </w:p>
    <w:p w:rsidR="00D84BA2" w:rsidRPr="00184D26" w:rsidRDefault="00D84BA2" w:rsidP="00D84BA2">
      <w:pPr>
        <w:jc w:val="both"/>
      </w:pPr>
    </w:p>
    <w:p w:rsidR="00D84BA2" w:rsidRPr="000F2A14" w:rsidRDefault="00D84BA2" w:rsidP="00D84BA2">
      <w:pPr>
        <w:jc w:val="both"/>
        <w:rPr>
          <w:b/>
        </w:rPr>
      </w:pPr>
      <w:r w:rsidRPr="000F2A14">
        <w:rPr>
          <w:b/>
        </w:rPr>
        <w:t>Az előterjesztés támogatása mellett az OKT az alábbi észrevételeket teszi:</w:t>
      </w:r>
    </w:p>
    <w:p w:rsidR="00D84BA2" w:rsidRPr="00184D26" w:rsidRDefault="00D84BA2" w:rsidP="00D84BA2">
      <w:pPr>
        <w:jc w:val="both"/>
      </w:pPr>
    </w:p>
    <w:p w:rsidR="00D84BA2" w:rsidRPr="00184D26" w:rsidRDefault="00D84BA2" w:rsidP="00D84BA2">
      <w:pPr>
        <w:numPr>
          <w:ilvl w:val="0"/>
          <w:numId w:val="10"/>
        </w:numPr>
        <w:jc w:val="both"/>
      </w:pPr>
      <w:r w:rsidRPr="00184D26">
        <w:t>Az előterjesztés 1-es mellékletének 1. pontjában (a kormányhatározati előterjesztés szövegében) szereplő 1,050 milliárd forint a munka megfelelő kivitelezésére feltételezhetően nem elegendő összeg. Megfontolás tárgyát kell, hogy ké</w:t>
      </w:r>
      <w:r>
        <w:t>pezze az alábbi szempontokból: f</w:t>
      </w:r>
      <w:r w:rsidRPr="00184D26">
        <w:t xml:space="preserve">edezi-e valamennyi szükséges lépés költségét az adatgyűjtéstől (hiányok pótlásától) az elemzéseken át a terv felülvizsgálatáig és társadalmi egyeztetéséig? Benne van-e az adatokon alapuló megfelelő megbízhatóságú állapotértékelés elvégzésének költsége, amit az első VGT tervezés idején 2,5-szer ekkora költségből sem lehetett elvégezni? Benne van-e az összes érintett ágazat közigazgatási szintű részvételének a finanszírozása? Az OKT attól tart, hogy ekkora összegből nem lehet elkészíteni a </w:t>
      </w:r>
      <w:r w:rsidRPr="00184D26">
        <w:lastRenderedPageBreak/>
        <w:t xml:space="preserve">felülvizsgált tervet olyan minőségben, ahogy azt a Bizottság elfogadja, és amit a szakterület fontossága indokol. </w:t>
      </w:r>
    </w:p>
    <w:p w:rsidR="00D84BA2" w:rsidRPr="00184D26" w:rsidRDefault="00D84BA2" w:rsidP="00D84BA2">
      <w:pPr>
        <w:ind w:left="708"/>
        <w:jc w:val="both"/>
      </w:pPr>
      <w:r w:rsidRPr="00184D26">
        <w:t>Az OKT javasolja ennek az összegnek a megnö</w:t>
      </w:r>
      <w:r>
        <w:t>velését, ami a 2013-ban kifutó</w:t>
      </w:r>
      <w:r w:rsidRPr="00184D26">
        <w:t xml:space="preserve"> KEOP 7.9.0. konstrukció fennmaradó pénzeinek – vagy más, 100%-ig ki nem használt </w:t>
      </w:r>
      <w:r>
        <w:t xml:space="preserve">címeken még </w:t>
      </w:r>
      <w:proofErr w:type="gramStart"/>
      <w:r>
        <w:t>lehívható  és</w:t>
      </w:r>
      <w:proofErr w:type="gramEnd"/>
      <w:r>
        <w:t xml:space="preserve"> egyébként „bennragadó”</w:t>
      </w:r>
      <w:r w:rsidRPr="00184D26">
        <w:t xml:space="preserve"> maradványösszegeinek – nagyon hatékony felhasználását eredményezi, hiszen az EU következő költségvetési időszakában lehívható támogatások elérését szolgálja.</w:t>
      </w:r>
    </w:p>
    <w:p w:rsidR="00D84BA2" w:rsidRPr="00184D26" w:rsidRDefault="00D84BA2" w:rsidP="00D84BA2">
      <w:pPr>
        <w:jc w:val="both"/>
      </w:pPr>
    </w:p>
    <w:p w:rsidR="00D84BA2" w:rsidRPr="00184D26" w:rsidRDefault="00D84BA2" w:rsidP="00D84BA2">
      <w:pPr>
        <w:pStyle w:val="Jegyzetszveg"/>
        <w:numPr>
          <w:ilvl w:val="0"/>
          <w:numId w:val="10"/>
        </w:numPr>
        <w:jc w:val="both"/>
        <w:rPr>
          <w:sz w:val="24"/>
          <w:szCs w:val="24"/>
        </w:rPr>
      </w:pPr>
      <w:r w:rsidRPr="00184D26">
        <w:rPr>
          <w:sz w:val="24"/>
          <w:szCs w:val="24"/>
        </w:rPr>
        <w:t xml:space="preserve">A </w:t>
      </w:r>
      <w:r>
        <w:rPr>
          <w:sz w:val="24"/>
          <w:szCs w:val="24"/>
        </w:rPr>
        <w:t>r</w:t>
      </w:r>
      <w:r w:rsidRPr="00184D26">
        <w:rPr>
          <w:sz w:val="24"/>
          <w:szCs w:val="24"/>
        </w:rPr>
        <w:t>észletes</w:t>
      </w:r>
      <w:r>
        <w:rPr>
          <w:sz w:val="24"/>
          <w:szCs w:val="24"/>
        </w:rPr>
        <w:t xml:space="preserve"> előterjesztés</w:t>
      </w:r>
      <w:r w:rsidRPr="00184D26">
        <w:rPr>
          <w:sz w:val="24"/>
          <w:szCs w:val="24"/>
        </w:rPr>
        <w:t xml:space="preserve"> előzetes feltételrendszer</w:t>
      </w:r>
      <w:r>
        <w:rPr>
          <w:sz w:val="24"/>
          <w:szCs w:val="24"/>
        </w:rPr>
        <w:t>ről szóló</w:t>
      </w:r>
      <w:r w:rsidRPr="00184D26">
        <w:rPr>
          <w:sz w:val="24"/>
          <w:szCs w:val="24"/>
        </w:rPr>
        <w:t xml:space="preserve"> 6.1 pontja úgy fogalmaz, hogy </w:t>
      </w:r>
      <w:r w:rsidRPr="00184D26">
        <w:rPr>
          <w:i/>
          <w:sz w:val="24"/>
          <w:szCs w:val="24"/>
        </w:rPr>
        <w:t>„a VKI néhány esetben mérlegelési lehetőséget nyújt a konkrét intézkedések bevezetésére:</w:t>
      </w:r>
      <w:r w:rsidRPr="00184D26">
        <w:rPr>
          <w:sz w:val="24"/>
          <w:szCs w:val="24"/>
        </w:rPr>
        <w:t xml:space="preserve"> „</w:t>
      </w:r>
      <w:r w:rsidRPr="00184D26">
        <w:rPr>
          <w:i/>
          <w:sz w:val="24"/>
          <w:szCs w:val="24"/>
        </w:rPr>
        <w:t>Alapos indoklás mellett (9. cikk 4. bekezdés) lehetőség van a költség visszatérülésre vonatkozó elv mellőzésére egy adott vízhasználatra, de csak abban az esetben, ha ezek nem veszélyeztetik az irányelv célkitűzéseinek elérését.”</w:t>
      </w:r>
      <w:r w:rsidRPr="00184D26">
        <w:rPr>
          <w:sz w:val="24"/>
          <w:szCs w:val="24"/>
        </w:rPr>
        <w:t xml:space="preserve"> Ezzel kapcsolatban az OKT ismét felhívja a figyelmet, hogy ilyen kivételt csak az érintett víztest állapotának szigorú, </w:t>
      </w:r>
      <w:proofErr w:type="spellStart"/>
      <w:r w:rsidRPr="00184D26">
        <w:rPr>
          <w:sz w:val="24"/>
          <w:szCs w:val="24"/>
        </w:rPr>
        <w:t>VKI-konform</w:t>
      </w:r>
      <w:proofErr w:type="spellEnd"/>
      <w:r w:rsidRPr="00184D26">
        <w:rPr>
          <w:sz w:val="24"/>
          <w:szCs w:val="24"/>
        </w:rPr>
        <w:t xml:space="preserve"> állapotértékelése és monitorozása mellett és csak a vízkivételek pontos mérésével és ellenőrzésével szabad alkalmazni, máskülönben veszélyeztetheti az irányelv célkitűzéseinek (a jó kémiai, mennyiségi és ökológiai állapot) elérését. </w:t>
      </w:r>
    </w:p>
    <w:p w:rsidR="00D84BA2" w:rsidRPr="00184D26" w:rsidRDefault="00D84BA2" w:rsidP="00D84BA2">
      <w:pPr>
        <w:jc w:val="both"/>
      </w:pPr>
    </w:p>
    <w:p w:rsidR="00D84BA2" w:rsidRPr="00184D26" w:rsidRDefault="0087461D" w:rsidP="00D84BA2">
      <w:pPr>
        <w:pStyle w:val="Jegyzetszveg"/>
        <w:numPr>
          <w:ilvl w:val="0"/>
          <w:numId w:val="10"/>
        </w:numPr>
        <w:jc w:val="both"/>
        <w:rPr>
          <w:sz w:val="24"/>
          <w:szCs w:val="24"/>
        </w:rPr>
      </w:pPr>
      <w:r w:rsidRPr="0087461D">
        <w:rPr>
          <w:sz w:val="24"/>
          <w:szCs w:val="24"/>
        </w:rPr>
        <w:t xml:space="preserve">Szintén ebben a pontban a 9. oldalon szerepel az a megállapítás, hogy </w:t>
      </w:r>
      <w:r w:rsidRPr="0087461D">
        <w:rPr>
          <w:i/>
          <w:sz w:val="24"/>
          <w:szCs w:val="24"/>
        </w:rPr>
        <w:t xml:space="preserve">„Magyarország a Bizottság által képviseltnél egy szűkebb értelmezését fogadta el a vízszolgáltatások fogalmának, amikor a fogalom hatályát csak az ivóvíz szolgáltatásra, a szennyvízelvezetésre és </w:t>
      </w:r>
      <w:proofErr w:type="spellStart"/>
      <w:r w:rsidRPr="0087461D">
        <w:rPr>
          <w:i/>
          <w:sz w:val="24"/>
          <w:szCs w:val="24"/>
        </w:rPr>
        <w:t>-kezelésre</w:t>
      </w:r>
      <w:proofErr w:type="spellEnd"/>
      <w:r w:rsidRPr="0087461D">
        <w:rPr>
          <w:i/>
          <w:sz w:val="24"/>
          <w:szCs w:val="24"/>
        </w:rPr>
        <w:t>, valamint a mezőgazdasági célú vízszolgáltatásra szűkítette le. A Bizottság különösen kifogásolja, hogy Magyarország nem tartja a vízszolgáltatás fogalma alá tartozónak a vízenergia-termelés, a hajózás és az árvízvédelem céljából végrehajtott duzzasztást, az ipari felhasználás céljából végrehajtott vízkivételt, valamint a saját vízkivételt.”</w:t>
      </w:r>
      <w:r w:rsidRPr="0087461D">
        <w:rPr>
          <w:sz w:val="24"/>
          <w:szCs w:val="24"/>
        </w:rPr>
        <w:t xml:space="preserve"> Az OKT egyetért azzal, hogy hazánknak ezt a fogalomértelmezést módosítania szükséges. Ezek a vízkivételek, vagy vízhasználatok ugyanúgy a vizet, mint természeti erőforrást hasznosítják, ezért nem javasolt kivételként kezelni a felhasználás ezen eseteit.</w:t>
      </w:r>
    </w:p>
    <w:p w:rsidR="00D84BA2" w:rsidRPr="00184D26" w:rsidRDefault="00D84BA2" w:rsidP="00D84BA2">
      <w:pPr>
        <w:pStyle w:val="Listaszerbekezds"/>
      </w:pPr>
    </w:p>
    <w:p w:rsidR="00D84BA2" w:rsidRPr="00184D26" w:rsidRDefault="00D84BA2" w:rsidP="00D84BA2">
      <w:pPr>
        <w:pStyle w:val="Jegyzetszveg"/>
        <w:ind w:left="708"/>
        <w:jc w:val="both"/>
        <w:rPr>
          <w:sz w:val="24"/>
          <w:szCs w:val="24"/>
        </w:rPr>
      </w:pPr>
      <w:r w:rsidRPr="00184D26">
        <w:rPr>
          <w:sz w:val="24"/>
          <w:szCs w:val="24"/>
        </w:rPr>
        <w:t>A kötelezettségszegési eljárás megköveteli a gazdasági elemzések és a költségmegtérülés elvének kiterjesztését a felsorolt vízhasználatokra, ugyanakkor az</w:t>
      </w:r>
      <w:r>
        <w:rPr>
          <w:sz w:val="24"/>
          <w:szCs w:val="24"/>
        </w:rPr>
        <w:t xml:space="preserve"> OKT szükségesnek látja, hogy a</w:t>
      </w:r>
      <w:r w:rsidRPr="00184D26">
        <w:rPr>
          <w:sz w:val="24"/>
          <w:szCs w:val="24"/>
        </w:rPr>
        <w:t xml:space="preserve"> vízszolgáltatások között a művelt területekről történő belvízelvezetés vizsgálatára is sor kerüljön. A költségmegtérülés elvének alkalmazása a belvízelvezetésre különösen olyan helyeken indokolt, ahol a felszín alatti víztest állapotának megőrzése, vagy javítása </w:t>
      </w:r>
      <w:r>
        <w:rPr>
          <w:sz w:val="24"/>
          <w:szCs w:val="24"/>
        </w:rPr>
        <w:t>érdekében</w:t>
      </w:r>
      <w:r w:rsidRPr="00184D26">
        <w:rPr>
          <w:sz w:val="24"/>
          <w:szCs w:val="24"/>
        </w:rPr>
        <w:t>, vagy érintett felszíni vizes élőhelyek szempontjából a vízkészletek helyben tartása lenne szükséges.</w:t>
      </w:r>
    </w:p>
    <w:p w:rsidR="00235AF7" w:rsidRPr="00184D26" w:rsidRDefault="00235AF7" w:rsidP="00D84BA2">
      <w:pPr>
        <w:pStyle w:val="Jegyzetszveg"/>
        <w:jc w:val="both"/>
        <w:rPr>
          <w:sz w:val="24"/>
          <w:szCs w:val="24"/>
        </w:rPr>
      </w:pPr>
    </w:p>
    <w:p w:rsidR="00D84BA2" w:rsidRPr="00184D26" w:rsidRDefault="00D84BA2" w:rsidP="00D84BA2">
      <w:pPr>
        <w:pStyle w:val="Jegyzetszveg"/>
        <w:numPr>
          <w:ilvl w:val="0"/>
          <w:numId w:val="10"/>
        </w:numPr>
        <w:jc w:val="both"/>
        <w:rPr>
          <w:sz w:val="24"/>
          <w:szCs w:val="24"/>
        </w:rPr>
      </w:pPr>
      <w:r w:rsidRPr="00184D26">
        <w:rPr>
          <w:sz w:val="24"/>
          <w:szCs w:val="24"/>
          <w:lang w:eastAsia="en-US"/>
        </w:rPr>
        <w:t xml:space="preserve">A 10. oldalon a jelenlegi helyzet leírásában szerepel: </w:t>
      </w:r>
      <w:r w:rsidRPr="00184D26">
        <w:rPr>
          <w:i/>
          <w:sz w:val="24"/>
          <w:szCs w:val="24"/>
          <w:lang w:eastAsia="en-US"/>
        </w:rPr>
        <w:t>„</w:t>
      </w:r>
      <w:proofErr w:type="gramStart"/>
      <w:r w:rsidRPr="00184D26">
        <w:rPr>
          <w:rFonts w:eastAsia="MS Mincho"/>
          <w:i/>
          <w:sz w:val="24"/>
          <w:szCs w:val="24"/>
        </w:rPr>
        <w:t>A</w:t>
      </w:r>
      <w:proofErr w:type="gramEnd"/>
      <w:r w:rsidRPr="00184D26">
        <w:rPr>
          <w:rFonts w:eastAsia="MS Mincho"/>
          <w:i/>
          <w:sz w:val="24"/>
          <w:szCs w:val="24"/>
        </w:rPr>
        <w:t xml:space="preserve"> díjak és bírságok jelenleg a központi költségvetés általános bevételét képezik, nincs mechanizmus arra, hogy e bevételek, valamint a </w:t>
      </w:r>
      <w:proofErr w:type="spellStart"/>
      <w:r w:rsidRPr="00184D26">
        <w:rPr>
          <w:rFonts w:eastAsia="MS Mincho"/>
          <w:i/>
          <w:sz w:val="24"/>
          <w:szCs w:val="24"/>
        </w:rPr>
        <w:t>vízkészletjárulék</w:t>
      </w:r>
      <w:proofErr w:type="spellEnd"/>
      <w:r w:rsidRPr="00184D26">
        <w:rPr>
          <w:rFonts w:eastAsia="MS Mincho"/>
          <w:i/>
          <w:sz w:val="24"/>
          <w:szCs w:val="24"/>
        </w:rPr>
        <w:t xml:space="preserve"> a vízkészletek mennyiségi és minőségi megőrzéséhez elengedhetetlenül szükséges hatósági felügyeleti és monitoring tevékenységeket valamint a szükséges környezetvédelmi intézkedések közvetlen finanszírozását szolgálják.”</w:t>
      </w:r>
      <w:r w:rsidRPr="00184D26">
        <w:rPr>
          <w:rFonts w:eastAsia="MS Mincho"/>
          <w:sz w:val="24"/>
          <w:szCs w:val="24"/>
        </w:rPr>
        <w:t xml:space="preserve"> Az OKT kéri ezen intézkedések biztos finanszírozási hátterének mielőbbi megteremtését, amihez az említett díjak, járulékok és bírságok célzott alapban történő elkülönítése megfelelő eszköz </w:t>
      </w:r>
      <w:r w:rsidRPr="00184D26">
        <w:rPr>
          <w:rFonts w:eastAsia="MS Mincho"/>
          <w:sz w:val="24"/>
          <w:szCs w:val="24"/>
        </w:rPr>
        <w:lastRenderedPageBreak/>
        <w:t xml:space="preserve">lenne. Felhívjuk a figyelmet arra, hogy a jelenleg hatályos VGT intézkedési programja (és a háttéranyagai) tartalmaz megalapozott javaslatokat a </w:t>
      </w:r>
      <w:proofErr w:type="spellStart"/>
      <w:r w:rsidRPr="00184D26">
        <w:rPr>
          <w:rFonts w:eastAsia="MS Mincho"/>
          <w:sz w:val="24"/>
          <w:szCs w:val="24"/>
        </w:rPr>
        <w:t>vízárpolitikai</w:t>
      </w:r>
      <w:proofErr w:type="spellEnd"/>
      <w:r w:rsidRPr="00184D26">
        <w:rPr>
          <w:rFonts w:eastAsia="MS Mincho"/>
          <w:sz w:val="24"/>
          <w:szCs w:val="24"/>
        </w:rPr>
        <w:t xml:space="preserve"> eszközrendszer továbbfejlesztésére és a bevezetés lehetséges módjára, ütemezésére. </w:t>
      </w:r>
    </w:p>
    <w:p w:rsidR="00D84BA2" w:rsidRPr="00184D26" w:rsidRDefault="00D84BA2" w:rsidP="00D84BA2">
      <w:pPr>
        <w:jc w:val="both"/>
      </w:pPr>
    </w:p>
    <w:p w:rsidR="00D84BA2" w:rsidRPr="00184D26" w:rsidRDefault="00D84BA2" w:rsidP="00D84BA2">
      <w:pPr>
        <w:jc w:val="both"/>
      </w:pPr>
    </w:p>
    <w:p w:rsidR="00D84BA2" w:rsidRPr="00184D26" w:rsidRDefault="00D84BA2" w:rsidP="00D84BA2">
      <w:pPr>
        <w:jc w:val="both"/>
      </w:pPr>
      <w:r>
        <w:t>Budapest, 2013. április 15.</w:t>
      </w:r>
    </w:p>
    <w:p w:rsidR="000423D6" w:rsidRPr="00A4383E" w:rsidRDefault="000423D6" w:rsidP="00F076DE">
      <w:pPr>
        <w:pStyle w:val="NormlWeb"/>
        <w:spacing w:before="0" w:beforeAutospacing="0" w:after="0" w:afterAutospacing="0"/>
        <w:jc w:val="both"/>
        <w:rPr>
          <w:sz w:val="23"/>
          <w:szCs w:val="23"/>
        </w:rPr>
      </w:pPr>
    </w:p>
    <w:sectPr w:rsidR="000423D6" w:rsidRPr="00A4383E" w:rsidSect="00A4383E">
      <w:headerReference w:type="default" r:id="rId7"/>
      <w:footerReference w:type="default" r:id="rId8"/>
      <w:pgSz w:w="11906" w:h="16838"/>
      <w:pgMar w:top="1418" w:right="1134" w:bottom="1418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DF1" w:rsidRDefault="00BC5DF1">
      <w:r>
        <w:separator/>
      </w:r>
    </w:p>
  </w:endnote>
  <w:endnote w:type="continuationSeparator" w:id="0">
    <w:p w:rsidR="00BC5DF1" w:rsidRDefault="00BC5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67" w:rsidRDefault="007C6234" w:rsidP="00B77FCB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</w:t>
    </w:r>
    <w:r w:rsidR="00820B67">
      <w:rPr>
        <w:rFonts w:ascii="Clarendon Condensed" w:hAnsi="Clarendon Condensed"/>
        <w:spacing w:val="40"/>
        <w:sz w:val="20"/>
      </w:rPr>
      <w:t xml:space="preserve"> Budapest, </w:t>
    </w:r>
    <w:r>
      <w:rPr>
        <w:rFonts w:ascii="Clarendon Condensed" w:hAnsi="Clarendon Condensed"/>
        <w:spacing w:val="40"/>
        <w:sz w:val="20"/>
      </w:rPr>
      <w:t>Kossuth tér 11.</w:t>
    </w:r>
  </w:p>
  <w:p w:rsidR="00820B67" w:rsidRDefault="007C6234" w:rsidP="00B77FCB">
    <w:pPr>
      <w:pStyle w:val="llb"/>
      <w:pBdr>
        <w:top w:val="dashDotStroked" w:sz="24" w:space="0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Telefon: </w:t>
    </w:r>
    <w:r w:rsidR="007C6234">
      <w:rPr>
        <w:rFonts w:ascii="Clarendon Condensed" w:hAnsi="Clarendon Condensed"/>
        <w:spacing w:val="40"/>
        <w:sz w:val="20"/>
      </w:rPr>
      <w:t>1 – 79 51 063</w:t>
    </w:r>
    <w:r>
      <w:rPr>
        <w:rFonts w:ascii="Clarendon Condensed" w:hAnsi="Clarendon Condensed"/>
        <w:spacing w:val="40"/>
        <w:sz w:val="20"/>
      </w:rPr>
      <w:t xml:space="preserve">; </w:t>
    </w:r>
    <w:r w:rsidR="007C6234">
      <w:rPr>
        <w:rFonts w:ascii="Clarendon Condensed" w:hAnsi="Clarendon Condensed"/>
        <w:spacing w:val="40"/>
        <w:sz w:val="20"/>
      </w:rPr>
      <w:t>1 – 79 53 699</w:t>
    </w:r>
    <w:r>
      <w:rPr>
        <w:rFonts w:ascii="Clarendon Condensed" w:hAnsi="Clarendon Condensed"/>
        <w:spacing w:val="40"/>
        <w:sz w:val="20"/>
      </w:rPr>
      <w:t xml:space="preserve">. Fax: </w:t>
    </w:r>
    <w:r w:rsidR="007C6234">
      <w:rPr>
        <w:rFonts w:ascii="Clarendon Condensed" w:hAnsi="Clarendon Condensed"/>
        <w:spacing w:val="40"/>
        <w:sz w:val="20"/>
      </w:rPr>
      <w:t>1 – 79 50 429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820B67" w:rsidRDefault="00820B67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DF1" w:rsidRDefault="00BC5DF1">
      <w:r>
        <w:separator/>
      </w:r>
    </w:p>
  </w:footnote>
  <w:footnote w:type="continuationSeparator" w:id="0">
    <w:p w:rsidR="00BC5DF1" w:rsidRDefault="00BC5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67" w:rsidRDefault="00820B67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8pt;height:80.5pt" o:ole="">
          <v:imagedata r:id="rId1" o:title=""/>
        </v:shape>
        <o:OLEObject Type="Embed" ProgID="MSPhotoEd.3" ShapeID="_x0000_i1025" DrawAspect="Content" ObjectID="_1427549903" r:id="rId2"/>
      </w:object>
    </w:r>
  </w:p>
  <w:p w:rsidR="00820B67" w:rsidRDefault="00820B67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2B1"/>
    <w:multiLevelType w:val="hybridMultilevel"/>
    <w:tmpl w:val="F5C8A210"/>
    <w:lvl w:ilvl="0" w:tplc="E0803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84C9E"/>
    <w:multiLevelType w:val="hybridMultilevel"/>
    <w:tmpl w:val="481021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D4C49"/>
    <w:multiLevelType w:val="hybridMultilevel"/>
    <w:tmpl w:val="886896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C2DB8"/>
    <w:multiLevelType w:val="hybridMultilevel"/>
    <w:tmpl w:val="4DD0BAA2"/>
    <w:lvl w:ilvl="0" w:tplc="E0803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F1305FD"/>
    <w:multiLevelType w:val="hybridMultilevel"/>
    <w:tmpl w:val="C6346C74"/>
    <w:lvl w:ilvl="0" w:tplc="240420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7F6"/>
    <w:rsid w:val="0003069E"/>
    <w:rsid w:val="0003417F"/>
    <w:rsid w:val="000423D6"/>
    <w:rsid w:val="0006162C"/>
    <w:rsid w:val="00075591"/>
    <w:rsid w:val="00080183"/>
    <w:rsid w:val="000A5E71"/>
    <w:rsid w:val="000A6D82"/>
    <w:rsid w:val="000D7677"/>
    <w:rsid w:val="000E2C5B"/>
    <w:rsid w:val="000F2CC9"/>
    <w:rsid w:val="001B1053"/>
    <w:rsid w:val="001C24E0"/>
    <w:rsid w:val="001D2AC7"/>
    <w:rsid w:val="001E05B6"/>
    <w:rsid w:val="001F0D40"/>
    <w:rsid w:val="00215AF5"/>
    <w:rsid w:val="00221634"/>
    <w:rsid w:val="00230A6F"/>
    <w:rsid w:val="00235AF7"/>
    <w:rsid w:val="00275BF2"/>
    <w:rsid w:val="002A531F"/>
    <w:rsid w:val="002E2ADE"/>
    <w:rsid w:val="002F5B0E"/>
    <w:rsid w:val="00300EFF"/>
    <w:rsid w:val="00323932"/>
    <w:rsid w:val="003425B7"/>
    <w:rsid w:val="00362E2F"/>
    <w:rsid w:val="00396B6C"/>
    <w:rsid w:val="003B46F7"/>
    <w:rsid w:val="003D6327"/>
    <w:rsid w:val="003E6EC0"/>
    <w:rsid w:val="00431BB3"/>
    <w:rsid w:val="00464E1B"/>
    <w:rsid w:val="00473821"/>
    <w:rsid w:val="00496653"/>
    <w:rsid w:val="004E3049"/>
    <w:rsid w:val="004F2071"/>
    <w:rsid w:val="004F2EA4"/>
    <w:rsid w:val="00520010"/>
    <w:rsid w:val="00525A56"/>
    <w:rsid w:val="00563552"/>
    <w:rsid w:val="00563632"/>
    <w:rsid w:val="00585762"/>
    <w:rsid w:val="005875AD"/>
    <w:rsid w:val="00594008"/>
    <w:rsid w:val="00597A62"/>
    <w:rsid w:val="005B6A72"/>
    <w:rsid w:val="005C5036"/>
    <w:rsid w:val="00603E26"/>
    <w:rsid w:val="0065074F"/>
    <w:rsid w:val="006A559A"/>
    <w:rsid w:val="006D6CBB"/>
    <w:rsid w:val="006E0C38"/>
    <w:rsid w:val="007067D6"/>
    <w:rsid w:val="00713E5A"/>
    <w:rsid w:val="007359FE"/>
    <w:rsid w:val="007428D9"/>
    <w:rsid w:val="00796B93"/>
    <w:rsid w:val="007B0C42"/>
    <w:rsid w:val="007C6234"/>
    <w:rsid w:val="007E6C04"/>
    <w:rsid w:val="007F06CF"/>
    <w:rsid w:val="007F11DC"/>
    <w:rsid w:val="00820B67"/>
    <w:rsid w:val="0082742C"/>
    <w:rsid w:val="00846191"/>
    <w:rsid w:val="0084769C"/>
    <w:rsid w:val="0087461D"/>
    <w:rsid w:val="008F2494"/>
    <w:rsid w:val="00900077"/>
    <w:rsid w:val="009429E8"/>
    <w:rsid w:val="00956494"/>
    <w:rsid w:val="00960BC4"/>
    <w:rsid w:val="00A11588"/>
    <w:rsid w:val="00A20D14"/>
    <w:rsid w:val="00A4383E"/>
    <w:rsid w:val="00A812AF"/>
    <w:rsid w:val="00A819ED"/>
    <w:rsid w:val="00AA6125"/>
    <w:rsid w:val="00AF06F5"/>
    <w:rsid w:val="00B02F68"/>
    <w:rsid w:val="00B200A7"/>
    <w:rsid w:val="00B72F9E"/>
    <w:rsid w:val="00B77FCB"/>
    <w:rsid w:val="00BA6EDA"/>
    <w:rsid w:val="00BB22C8"/>
    <w:rsid w:val="00BC5DF1"/>
    <w:rsid w:val="00BE6548"/>
    <w:rsid w:val="00C8472D"/>
    <w:rsid w:val="00D141BB"/>
    <w:rsid w:val="00D326FC"/>
    <w:rsid w:val="00D40751"/>
    <w:rsid w:val="00D84BA2"/>
    <w:rsid w:val="00DC2A55"/>
    <w:rsid w:val="00DC2CC4"/>
    <w:rsid w:val="00DE216B"/>
    <w:rsid w:val="00DE3B4E"/>
    <w:rsid w:val="00E548E1"/>
    <w:rsid w:val="00E56A74"/>
    <w:rsid w:val="00E76039"/>
    <w:rsid w:val="00EC3052"/>
    <w:rsid w:val="00EE38C9"/>
    <w:rsid w:val="00F03D4D"/>
    <w:rsid w:val="00F076DE"/>
    <w:rsid w:val="00F77403"/>
    <w:rsid w:val="00F937F6"/>
    <w:rsid w:val="00FB3E0B"/>
    <w:rsid w:val="00FD4837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0751"/>
    <w:rPr>
      <w:sz w:val="24"/>
    </w:rPr>
  </w:style>
  <w:style w:type="paragraph" w:styleId="Cmsor1">
    <w:name w:val="heading 1"/>
    <w:basedOn w:val="Norml"/>
    <w:next w:val="Norml"/>
    <w:qFormat/>
    <w:rsid w:val="00D40751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D40751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4075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40751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D40751"/>
    <w:rPr>
      <w:sz w:val="28"/>
    </w:rPr>
  </w:style>
  <w:style w:type="paragraph" w:styleId="Szvegtrzs2">
    <w:name w:val="Body Text 2"/>
    <w:basedOn w:val="Norml"/>
    <w:rsid w:val="00D40751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rsid w:val="00B72F9E"/>
    <w:rPr>
      <w:color w:val="0000FF"/>
      <w:u w:val="single"/>
    </w:rPr>
  </w:style>
  <w:style w:type="character" w:styleId="Jegyzethivatkozs">
    <w:name w:val="annotation reference"/>
    <w:semiHidden/>
    <w:rsid w:val="006D6C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D6CBB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6D6CBB"/>
    <w:rPr>
      <w:b/>
      <w:bCs/>
    </w:rPr>
  </w:style>
  <w:style w:type="paragraph" w:styleId="Lbjegyzetszveg">
    <w:name w:val="footnote text"/>
    <w:basedOn w:val="Norml"/>
    <w:link w:val="LbjegyzetszvegChar"/>
    <w:rsid w:val="005B6A7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5B6A72"/>
  </w:style>
  <w:style w:type="character" w:styleId="Lbjegyzet-hivatkozs">
    <w:name w:val="footnote reference"/>
    <w:rsid w:val="005B6A72"/>
    <w:rPr>
      <w:vertAlign w:val="superscript"/>
    </w:rPr>
  </w:style>
  <w:style w:type="paragraph" w:styleId="NormlWeb">
    <w:name w:val="Normal (Web)"/>
    <w:basedOn w:val="Norml"/>
    <w:rsid w:val="00713E5A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84BA2"/>
  </w:style>
  <w:style w:type="paragraph" w:styleId="Listaszerbekezds">
    <w:name w:val="List Paragraph"/>
    <w:basedOn w:val="Norml"/>
    <w:uiPriority w:val="34"/>
    <w:qFormat/>
    <w:rsid w:val="00D84BA2"/>
    <w:pPr>
      <w:ind w:left="708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Környezetvédelmi Minisztérium</Company>
  <LinksUpToDate>false</LinksUpToDate>
  <CharactersWithSpaces>6527</CharactersWithSpaces>
  <SharedDoc>false</SharedDoc>
  <HLinks>
    <vt:vector size="12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http://www.ippc.hu/hazai_bat_utmutatok.htm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Bulla Mikós, Dr.</dc:creator>
  <cp:lastModifiedBy>LakatosL</cp:lastModifiedBy>
  <cp:revision>2</cp:revision>
  <cp:lastPrinted>2012-03-05T09:52:00Z</cp:lastPrinted>
  <dcterms:created xsi:type="dcterms:W3CDTF">2013-04-15T14:52:00Z</dcterms:created>
  <dcterms:modified xsi:type="dcterms:W3CDTF">2013-04-15T14:52:00Z</dcterms:modified>
</cp:coreProperties>
</file>