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B1" w:rsidRPr="006E4514" w:rsidRDefault="00F648B1" w:rsidP="00F648B1">
      <w:pPr>
        <w:jc w:val="center"/>
        <w:rPr>
          <w:b/>
          <w:i/>
          <w:szCs w:val="24"/>
        </w:rPr>
      </w:pPr>
      <w:r>
        <w:rPr>
          <w:b/>
          <w:i/>
          <w:szCs w:val="24"/>
        </w:rPr>
        <w:t>Az Országos Környezetvédelmi Tanács</w:t>
      </w:r>
      <w:r w:rsidRPr="006E4514">
        <w:rPr>
          <w:b/>
          <w:i/>
          <w:szCs w:val="24"/>
        </w:rPr>
        <w:t xml:space="preserve"> </w:t>
      </w:r>
      <w:r>
        <w:rPr>
          <w:b/>
          <w:i/>
          <w:szCs w:val="24"/>
        </w:rPr>
        <w:t>állásfog</w:t>
      </w:r>
      <w:r w:rsidRPr="00483A8B">
        <w:rPr>
          <w:b/>
          <w:i/>
          <w:szCs w:val="24"/>
        </w:rPr>
        <w:t>lalá</w:t>
      </w:r>
      <w:r>
        <w:rPr>
          <w:b/>
          <w:i/>
          <w:szCs w:val="24"/>
        </w:rPr>
        <w:t>s</w:t>
      </w:r>
      <w:r>
        <w:rPr>
          <w:bCs/>
          <w:i/>
          <w:szCs w:val="24"/>
        </w:rPr>
        <w:t xml:space="preserve"> </w:t>
      </w:r>
      <w:r w:rsidRPr="00483A8B">
        <w:rPr>
          <w:b/>
          <w:i/>
          <w:szCs w:val="24"/>
        </w:rPr>
        <w:t>az</w:t>
      </w:r>
      <w:r w:rsidRPr="00483A8B">
        <w:rPr>
          <w:bCs/>
          <w:i/>
          <w:szCs w:val="24"/>
        </w:rPr>
        <w:t xml:space="preserve"> </w:t>
      </w:r>
      <w:r w:rsidRPr="00483A8B">
        <w:rPr>
          <w:b/>
          <w:i/>
          <w:szCs w:val="24"/>
        </w:rPr>
        <w:t>Országos Területrendezési</w:t>
      </w:r>
      <w:r w:rsidRPr="008C7F05">
        <w:rPr>
          <w:b/>
          <w:i/>
          <w:szCs w:val="24"/>
        </w:rPr>
        <w:t xml:space="preserve"> Tervről szóló 2003. évi XXVI. törvény</w:t>
      </w:r>
      <w:r>
        <w:rPr>
          <w:bCs/>
          <w:i/>
          <w:szCs w:val="24"/>
        </w:rPr>
        <w:t xml:space="preserve"> </w:t>
      </w:r>
      <w:r w:rsidRPr="006E4514">
        <w:rPr>
          <w:b/>
          <w:i/>
          <w:szCs w:val="24"/>
        </w:rPr>
        <w:t>módosításá</w:t>
      </w:r>
      <w:r>
        <w:rPr>
          <w:b/>
          <w:i/>
          <w:szCs w:val="24"/>
        </w:rPr>
        <w:t>nak tervezetéről, az azt M</w:t>
      </w:r>
      <w:r w:rsidRPr="00483A8B">
        <w:rPr>
          <w:b/>
          <w:i/>
          <w:szCs w:val="24"/>
        </w:rPr>
        <w:t xml:space="preserve">egalapozó </w:t>
      </w:r>
      <w:r>
        <w:rPr>
          <w:b/>
          <w:i/>
          <w:szCs w:val="24"/>
        </w:rPr>
        <w:t>Munkarészekről</w:t>
      </w:r>
      <w:r w:rsidRPr="00483A8B">
        <w:rPr>
          <w:b/>
          <w:i/>
          <w:szCs w:val="24"/>
        </w:rPr>
        <w:t xml:space="preserve">, valamint a Környezeti Vizsgálat és </w:t>
      </w:r>
      <w:proofErr w:type="spellStart"/>
      <w:r w:rsidRPr="00483A8B">
        <w:rPr>
          <w:b/>
          <w:i/>
          <w:szCs w:val="24"/>
        </w:rPr>
        <w:t>Natura</w:t>
      </w:r>
      <w:proofErr w:type="spellEnd"/>
      <w:r>
        <w:rPr>
          <w:b/>
          <w:i/>
          <w:szCs w:val="24"/>
        </w:rPr>
        <w:t xml:space="preserve"> </w:t>
      </w:r>
      <w:r w:rsidRPr="00483A8B">
        <w:rPr>
          <w:b/>
          <w:i/>
          <w:szCs w:val="24"/>
        </w:rPr>
        <w:t>2000 Hatásbecslésről</w:t>
      </w:r>
      <w:r>
        <w:rPr>
          <w:bCs/>
          <w:i/>
          <w:szCs w:val="24"/>
        </w:rPr>
        <w:t xml:space="preserve"> </w:t>
      </w:r>
    </w:p>
    <w:p w:rsidR="00304F26" w:rsidRDefault="00304F26" w:rsidP="00D75E9A">
      <w:pPr>
        <w:jc w:val="both"/>
        <w:rPr>
          <w:rStyle w:val="Kiemels2"/>
          <w:u w:val="single"/>
        </w:rPr>
      </w:pPr>
    </w:p>
    <w:p w:rsidR="00F648B1" w:rsidRPr="00F648B1" w:rsidRDefault="00F648B1" w:rsidP="00F648B1">
      <w:pPr>
        <w:jc w:val="both"/>
        <w:rPr>
          <w:rStyle w:val="Kiemels2"/>
          <w:b w:val="0"/>
        </w:rPr>
      </w:pPr>
      <w:r>
        <w:rPr>
          <w:rStyle w:val="Kiemels2"/>
          <w:b w:val="0"/>
        </w:rPr>
        <w:t>A</w:t>
      </w:r>
      <w:r w:rsidRPr="00F648B1">
        <w:rPr>
          <w:rStyle w:val="Kiemels2"/>
          <w:b w:val="0"/>
        </w:rPr>
        <w:t>z Országos Környezetvédelmi Tanács a környezet-és természetvédelem, valamint a társadalmi,- gazdasági folyamatok kapcsolódásai kulcsterületein – az agrárium és természetvédelem, az energetika, a hulladékgazdálkodás, a közlekedéspolitika, a vízgazdálkodás- és vízminőség védelem, valamint a horizontális környezetpolitikai ügyek – összefüggéseit elemző állandó bizottságokat alakított tagjaiból, hogy a kormányzati munka eltérő ritmusához alkalmazkodva, rövid idő alatt is kiérlelt véleményt tudjon adni.</w:t>
      </w:r>
    </w:p>
    <w:p w:rsidR="00F648B1" w:rsidRPr="00F648B1" w:rsidRDefault="00F648B1" w:rsidP="00F648B1">
      <w:pPr>
        <w:jc w:val="both"/>
        <w:rPr>
          <w:rStyle w:val="Kiemels2"/>
          <w:b w:val="0"/>
        </w:rPr>
      </w:pPr>
      <w:r>
        <w:rPr>
          <w:rStyle w:val="Kiemels2"/>
          <w:b w:val="0"/>
        </w:rPr>
        <w:t>Így jár</w:t>
      </w:r>
      <w:r w:rsidRPr="00F648B1">
        <w:rPr>
          <w:rStyle w:val="Kiemels2"/>
          <w:b w:val="0"/>
        </w:rPr>
        <w:t>t el</w:t>
      </w:r>
      <w:r>
        <w:rPr>
          <w:rStyle w:val="Kiemels2"/>
          <w:b w:val="0"/>
        </w:rPr>
        <w:t xml:space="preserve"> az OKT</w:t>
      </w:r>
      <w:r w:rsidRPr="00F648B1">
        <w:rPr>
          <w:rStyle w:val="Kiemels2"/>
          <w:b w:val="0"/>
        </w:rPr>
        <w:t xml:space="preserve"> </w:t>
      </w:r>
      <w:proofErr w:type="spellStart"/>
      <w:r w:rsidRPr="00F648B1">
        <w:rPr>
          <w:rStyle w:val="Kiemels2"/>
          <w:b w:val="0"/>
        </w:rPr>
        <w:t>az</w:t>
      </w:r>
      <w:proofErr w:type="spellEnd"/>
      <w:r w:rsidRPr="00F648B1">
        <w:rPr>
          <w:rStyle w:val="Kiemels2"/>
          <w:b w:val="0"/>
        </w:rPr>
        <w:t xml:space="preserve"> </w:t>
      </w:r>
      <w:proofErr w:type="spellStart"/>
      <w:r w:rsidRPr="00F648B1">
        <w:rPr>
          <w:rStyle w:val="Kiemels2"/>
          <w:b w:val="0"/>
        </w:rPr>
        <w:t>OTrT</w:t>
      </w:r>
      <w:proofErr w:type="spellEnd"/>
      <w:r w:rsidRPr="00F648B1">
        <w:rPr>
          <w:rStyle w:val="Kiemels2"/>
          <w:b w:val="0"/>
        </w:rPr>
        <w:t xml:space="preserve"> felülvizsgálata és a törvénymódosítás tervezetét megalapozó munkarészek, valamint a tervezethez készített környezeti vizsgálat és </w:t>
      </w:r>
      <w:proofErr w:type="spellStart"/>
      <w:r w:rsidRPr="00F648B1">
        <w:rPr>
          <w:rStyle w:val="Kiemels2"/>
          <w:b w:val="0"/>
        </w:rPr>
        <w:t>Natura</w:t>
      </w:r>
      <w:proofErr w:type="spellEnd"/>
      <w:r w:rsidRPr="00F648B1">
        <w:rPr>
          <w:rStyle w:val="Kiemels2"/>
          <w:b w:val="0"/>
        </w:rPr>
        <w:t xml:space="preserve"> 2000 hatásbecslés véleményezése esetében is, a Tanács általánosan megfogalmazható véleményét plenáris ülésen kialakítva, amelyet a Bizottságok részlete</w:t>
      </w:r>
      <w:r>
        <w:rPr>
          <w:rStyle w:val="Kiemels2"/>
          <w:b w:val="0"/>
        </w:rPr>
        <w:t>sebb javaslatai egészítenek ki.</w:t>
      </w:r>
    </w:p>
    <w:p w:rsidR="00F648B1" w:rsidRPr="00F648B1" w:rsidRDefault="00F648B1" w:rsidP="00F648B1">
      <w:pPr>
        <w:jc w:val="both"/>
        <w:rPr>
          <w:rStyle w:val="Kiemels2"/>
          <w:b w:val="0"/>
        </w:rPr>
      </w:pPr>
      <w:r w:rsidRPr="00F648B1">
        <w:rPr>
          <w:rStyle w:val="Kiemels2"/>
          <w:b w:val="0"/>
        </w:rPr>
        <w:t xml:space="preserve">Az OKT együttes megállapítása, hogy az </w:t>
      </w:r>
      <w:proofErr w:type="spellStart"/>
      <w:r w:rsidRPr="00F648B1">
        <w:rPr>
          <w:rStyle w:val="Kiemels2"/>
          <w:b w:val="0"/>
        </w:rPr>
        <w:t>OTrT</w:t>
      </w:r>
      <w:proofErr w:type="spellEnd"/>
      <w:r w:rsidRPr="00F648B1">
        <w:rPr>
          <w:rStyle w:val="Kiemels2"/>
          <w:b w:val="0"/>
        </w:rPr>
        <w:t xml:space="preserve"> az ország térszerkezetének alakulását hosszú időre és alapvetően meghatározva jelentős hatással bír a környezeti és természeti erőforrások hozzáférésére,</w:t>
      </w:r>
      <w:r>
        <w:rPr>
          <w:rStyle w:val="Kiemels2"/>
          <w:b w:val="0"/>
        </w:rPr>
        <w:t xml:space="preserve"> </w:t>
      </w:r>
      <w:proofErr w:type="spellStart"/>
      <w:r>
        <w:rPr>
          <w:rStyle w:val="Kiemels2"/>
          <w:b w:val="0"/>
        </w:rPr>
        <w:t>-</w:t>
      </w:r>
      <w:r w:rsidRPr="00F648B1">
        <w:rPr>
          <w:rStyle w:val="Kiemels2"/>
          <w:b w:val="0"/>
        </w:rPr>
        <w:t>használatára</w:t>
      </w:r>
      <w:proofErr w:type="spellEnd"/>
      <w:r w:rsidRPr="00F648B1">
        <w:rPr>
          <w:rStyle w:val="Kiemels2"/>
          <w:b w:val="0"/>
        </w:rPr>
        <w:t>.</w:t>
      </w:r>
    </w:p>
    <w:p w:rsidR="00F648B1" w:rsidRPr="00F648B1" w:rsidRDefault="00F648B1" w:rsidP="00F648B1">
      <w:pPr>
        <w:jc w:val="both"/>
        <w:rPr>
          <w:rStyle w:val="Kiemels2"/>
          <w:b w:val="0"/>
        </w:rPr>
      </w:pPr>
      <w:r w:rsidRPr="00F648B1">
        <w:rPr>
          <w:rStyle w:val="Kiemels2"/>
          <w:b w:val="0"/>
        </w:rPr>
        <w:t>Ezt az összefüggésrendszert az Előterjesztők sokoldalúan – bár nem minden esetben a kérdés jelentőségének megfelelő hangsúllyal – vizsgálták és elemezték; tartalmas és jól értékelhető anyagokat produkálva. Ezért az OKT elismerését fejezi ki.</w:t>
      </w:r>
    </w:p>
    <w:p w:rsidR="00F648B1" w:rsidRPr="00F648B1" w:rsidRDefault="00F648B1" w:rsidP="00F648B1">
      <w:pPr>
        <w:jc w:val="both"/>
        <w:rPr>
          <w:rStyle w:val="Kiemels2"/>
          <w:b w:val="0"/>
        </w:rPr>
      </w:pPr>
      <w:r w:rsidRPr="00F648B1">
        <w:rPr>
          <w:rStyle w:val="Kiemels2"/>
          <w:b w:val="0"/>
        </w:rPr>
        <w:t xml:space="preserve">Szóvá kell tenni azonban, hogy – jóllehet jogszabály nem tiltja – mégsem szerencsés, hogy a törvénymódosítás tervezete és az alapozó anyagok környezeti vizsgálatát és a </w:t>
      </w:r>
      <w:proofErr w:type="spellStart"/>
      <w:r w:rsidRPr="00F648B1">
        <w:rPr>
          <w:rStyle w:val="Kiemels2"/>
          <w:b w:val="0"/>
        </w:rPr>
        <w:t>Natura</w:t>
      </w:r>
      <w:proofErr w:type="spellEnd"/>
      <w:r w:rsidRPr="00F648B1">
        <w:rPr>
          <w:rStyle w:val="Kiemels2"/>
          <w:b w:val="0"/>
        </w:rPr>
        <w:t xml:space="preserve"> 2000 hatásbecslést ugyanazok a szakértők végezték el, akik az említett dokumentumokat kidolgozták, továbbá nem is rendelkeznek minden vizsgálandó területen tanúsított szakértelemmel.</w:t>
      </w:r>
    </w:p>
    <w:p w:rsidR="00F648B1" w:rsidRDefault="00F648B1" w:rsidP="00F648B1">
      <w:pPr>
        <w:jc w:val="both"/>
        <w:rPr>
          <w:rStyle w:val="Kiemels2"/>
          <w:b w:val="0"/>
        </w:rPr>
      </w:pPr>
    </w:p>
    <w:p w:rsidR="00F648B1" w:rsidRPr="00A24BC9" w:rsidRDefault="00F648B1" w:rsidP="00F648B1">
      <w:pPr>
        <w:jc w:val="both"/>
        <w:rPr>
          <w:bCs/>
        </w:rPr>
      </w:pPr>
      <w:r w:rsidRPr="00A24BC9">
        <w:rPr>
          <w:bCs/>
        </w:rPr>
        <w:t xml:space="preserve">A </w:t>
      </w:r>
      <w:r>
        <w:rPr>
          <w:bCs/>
        </w:rPr>
        <w:t>2/2005. (I. 11.) Kormány</w:t>
      </w:r>
      <w:r w:rsidRPr="00A24BC9">
        <w:rPr>
          <w:bCs/>
        </w:rPr>
        <w:t>rendelet előírásait figyelembe véve, illetve az OKTVF és a Magyar Mérnök Kamara adatbázisát áttekintve úgy tűnik, a KV készítői között nincs megfelelő szakértő az általános környezetvédelem, víz, talaj, levegő, zaj és hulladék területen</w:t>
      </w:r>
      <w:r>
        <w:rPr>
          <w:bCs/>
        </w:rPr>
        <w:t>, tehát a munka szakmai szempontból megkérdőjelezhető</w:t>
      </w:r>
      <w:r w:rsidRPr="00A24BC9">
        <w:rPr>
          <w:bCs/>
        </w:rPr>
        <w:t>. Mindezek következtében a javaslat elsősorban nem a környezeti hatások elemzésére, hanem azokra a területekre koncentrál, amelyekhez a VÁTI alapvetően ért.</w:t>
      </w:r>
    </w:p>
    <w:p w:rsidR="00F648B1" w:rsidRPr="00F648B1" w:rsidRDefault="00F648B1" w:rsidP="00F648B1">
      <w:pPr>
        <w:jc w:val="both"/>
        <w:rPr>
          <w:rStyle w:val="Kiemels2"/>
          <w:b w:val="0"/>
        </w:rPr>
      </w:pPr>
    </w:p>
    <w:p w:rsidR="00F648B1" w:rsidRPr="00F648B1" w:rsidRDefault="00F648B1" w:rsidP="00F648B1">
      <w:pPr>
        <w:jc w:val="both"/>
        <w:rPr>
          <w:rStyle w:val="Kiemels2"/>
          <w:b w:val="0"/>
        </w:rPr>
      </w:pPr>
      <w:r w:rsidRPr="00F648B1">
        <w:rPr>
          <w:rStyle w:val="Kiemels2"/>
          <w:b w:val="0"/>
        </w:rPr>
        <w:t xml:space="preserve">Leginkább javasolt a további elemző munka az </w:t>
      </w:r>
      <w:proofErr w:type="spellStart"/>
      <w:r w:rsidRPr="00F648B1">
        <w:rPr>
          <w:rStyle w:val="Kiemels2"/>
          <w:b w:val="0"/>
        </w:rPr>
        <w:t>OTrT</w:t>
      </w:r>
      <w:proofErr w:type="spellEnd"/>
      <w:r w:rsidRPr="00F648B1">
        <w:rPr>
          <w:rStyle w:val="Kiemels2"/>
          <w:b w:val="0"/>
        </w:rPr>
        <w:t xml:space="preserve"> összehangolása a Víz Keret Irányelv megvalósításából következő </w:t>
      </w:r>
      <w:proofErr w:type="spellStart"/>
      <w:r w:rsidRPr="00F648B1">
        <w:rPr>
          <w:rStyle w:val="Kiemels2"/>
          <w:b w:val="0"/>
        </w:rPr>
        <w:t>vízgyűjtőgazdálkodás</w:t>
      </w:r>
      <w:proofErr w:type="spellEnd"/>
      <w:r w:rsidRPr="00F648B1">
        <w:rPr>
          <w:rStyle w:val="Kiemels2"/>
          <w:b w:val="0"/>
        </w:rPr>
        <w:t xml:space="preserve"> tervezéssel, amely az EU legnagyobb környezetfejlesztési programja, amint ez a Bizottság közelmúltban közzétett „</w:t>
      </w:r>
      <w:proofErr w:type="spellStart"/>
      <w:r w:rsidRPr="00F648B1">
        <w:rPr>
          <w:rStyle w:val="Kiemels2"/>
          <w:b w:val="0"/>
        </w:rPr>
        <w:t>Blueprint</w:t>
      </w:r>
      <w:proofErr w:type="spellEnd"/>
      <w:r w:rsidRPr="00F648B1">
        <w:rPr>
          <w:rStyle w:val="Kiemels2"/>
          <w:b w:val="0"/>
        </w:rPr>
        <w:t xml:space="preserve"> </w:t>
      </w:r>
      <w:proofErr w:type="spellStart"/>
      <w:r w:rsidRPr="00F648B1">
        <w:rPr>
          <w:rStyle w:val="Kiemels2"/>
          <w:b w:val="0"/>
        </w:rPr>
        <w:t>to</w:t>
      </w:r>
      <w:proofErr w:type="spellEnd"/>
      <w:r w:rsidRPr="00F648B1">
        <w:rPr>
          <w:rStyle w:val="Kiemels2"/>
          <w:b w:val="0"/>
        </w:rPr>
        <w:t xml:space="preserve"> </w:t>
      </w:r>
      <w:proofErr w:type="spellStart"/>
      <w:r w:rsidRPr="00F648B1">
        <w:rPr>
          <w:rStyle w:val="Kiemels2"/>
          <w:b w:val="0"/>
        </w:rPr>
        <w:t>safeguard</w:t>
      </w:r>
      <w:proofErr w:type="spellEnd"/>
      <w:r w:rsidRPr="00F648B1">
        <w:rPr>
          <w:rStyle w:val="Kiemels2"/>
          <w:b w:val="0"/>
        </w:rPr>
        <w:t xml:space="preserve"> </w:t>
      </w:r>
      <w:proofErr w:type="spellStart"/>
      <w:r w:rsidRPr="00F648B1">
        <w:rPr>
          <w:rStyle w:val="Kiemels2"/>
          <w:b w:val="0"/>
        </w:rPr>
        <w:t>Europa’s</w:t>
      </w:r>
      <w:proofErr w:type="spellEnd"/>
      <w:r w:rsidRPr="00F648B1">
        <w:rPr>
          <w:rStyle w:val="Kiemels2"/>
          <w:b w:val="0"/>
        </w:rPr>
        <w:t xml:space="preserve"> </w:t>
      </w:r>
      <w:proofErr w:type="spellStart"/>
      <w:r w:rsidRPr="00F648B1">
        <w:rPr>
          <w:rStyle w:val="Kiemels2"/>
          <w:b w:val="0"/>
        </w:rPr>
        <w:t>water</w:t>
      </w:r>
      <w:proofErr w:type="spellEnd"/>
      <w:r w:rsidRPr="00F648B1">
        <w:rPr>
          <w:rStyle w:val="Kiemels2"/>
          <w:b w:val="0"/>
        </w:rPr>
        <w:t xml:space="preserve"> </w:t>
      </w:r>
      <w:proofErr w:type="spellStart"/>
      <w:r w:rsidRPr="00F648B1">
        <w:rPr>
          <w:rStyle w:val="Kiemels2"/>
          <w:b w:val="0"/>
        </w:rPr>
        <w:t>resources</w:t>
      </w:r>
      <w:proofErr w:type="spellEnd"/>
      <w:r w:rsidRPr="00F648B1">
        <w:rPr>
          <w:rStyle w:val="Kiemels2"/>
          <w:b w:val="0"/>
        </w:rPr>
        <w:t>” dokumentuma is tartalmazza; kifejtve, hogy a közös vízpolitika csak a – más – szakpolitikákba integrálva valósítható meg.</w:t>
      </w:r>
    </w:p>
    <w:p w:rsidR="00F648B1" w:rsidRPr="00F648B1" w:rsidRDefault="00F648B1" w:rsidP="00F648B1">
      <w:pPr>
        <w:jc w:val="both"/>
        <w:rPr>
          <w:rStyle w:val="Kiemels2"/>
          <w:b w:val="0"/>
        </w:rPr>
      </w:pPr>
    </w:p>
    <w:p w:rsidR="00F648B1" w:rsidRPr="00F648B1" w:rsidRDefault="00F648B1" w:rsidP="00F648B1">
      <w:pPr>
        <w:jc w:val="both"/>
        <w:rPr>
          <w:rStyle w:val="Kiemels2"/>
          <w:b w:val="0"/>
        </w:rPr>
      </w:pPr>
      <w:r w:rsidRPr="00F648B1">
        <w:rPr>
          <w:rStyle w:val="Kiemels2"/>
          <w:b w:val="0"/>
        </w:rPr>
        <w:t xml:space="preserve">Konkrétan sorolja a </w:t>
      </w:r>
      <w:proofErr w:type="spellStart"/>
      <w:r w:rsidRPr="00F648B1">
        <w:rPr>
          <w:rStyle w:val="Kiemels2"/>
          <w:b w:val="0"/>
        </w:rPr>
        <w:t>Blueprint</w:t>
      </w:r>
      <w:proofErr w:type="spellEnd"/>
      <w:r w:rsidRPr="00F648B1">
        <w:rPr>
          <w:rStyle w:val="Kiemels2"/>
          <w:b w:val="0"/>
        </w:rPr>
        <w:t xml:space="preserve"> a földhasználatot, a – közös – agrárpolitikát, a megújuló energiák használata növelésének programjait, a közlekedésfejlesztést, továbbá a strukturális és kohéziós alapok fölhasználását, valamint az (egész) intézményrendszer alkalmazkodó képességét. Megállapítva, hogy a VKI megvalósítását szolgáló vízgyűjtő-gazdálkodás tervezés kivételes alkalmat kínál a különböző ágazatok és szakpolitikák területi összehangolására (!)</w:t>
      </w:r>
    </w:p>
    <w:p w:rsidR="00F648B1" w:rsidRPr="00F648B1" w:rsidRDefault="00F648B1" w:rsidP="00F648B1">
      <w:pPr>
        <w:jc w:val="both"/>
        <w:rPr>
          <w:rStyle w:val="Kiemels2"/>
          <w:b w:val="0"/>
        </w:rPr>
      </w:pPr>
      <w:r w:rsidRPr="00F648B1">
        <w:rPr>
          <w:rStyle w:val="Kiemels2"/>
          <w:b w:val="0"/>
        </w:rPr>
        <w:lastRenderedPageBreak/>
        <w:t>Ennek előmozdítása érdekében várható tehát, hogy a Bizottság eszközként fogja használni a ko</w:t>
      </w:r>
      <w:r>
        <w:rPr>
          <w:rStyle w:val="Kiemels2"/>
          <w:b w:val="0"/>
        </w:rPr>
        <w:t>héziós alaphoz való hozzájutást –</w:t>
      </w:r>
      <w:r w:rsidRPr="00F648B1">
        <w:rPr>
          <w:rStyle w:val="Kiemels2"/>
          <w:b w:val="0"/>
        </w:rPr>
        <w:t xml:space="preserve"> enn</w:t>
      </w:r>
      <w:r>
        <w:rPr>
          <w:rStyle w:val="Kiemels2"/>
          <w:b w:val="0"/>
        </w:rPr>
        <w:t>ek kritériumai meghatározásával –</w:t>
      </w:r>
      <w:r w:rsidRPr="00F648B1">
        <w:rPr>
          <w:rStyle w:val="Kiemels2"/>
          <w:b w:val="0"/>
        </w:rPr>
        <w:t xml:space="preserve"> a következő 2014-2020 tervidőszakban. Amely kohéziós alap a környezet- és természetvédelem, valamint a közlekedésfejlesztés projektjeinek finanszírozását döntő mértékben biztosító forrás.</w:t>
      </w:r>
    </w:p>
    <w:p w:rsidR="00F648B1" w:rsidRPr="00F648B1" w:rsidRDefault="00F648B1" w:rsidP="00F648B1">
      <w:pPr>
        <w:jc w:val="both"/>
        <w:rPr>
          <w:rStyle w:val="Kiemels2"/>
          <w:b w:val="0"/>
        </w:rPr>
      </w:pPr>
    </w:p>
    <w:p w:rsidR="00F648B1" w:rsidRPr="00F648B1" w:rsidRDefault="00F648B1" w:rsidP="00F648B1">
      <w:pPr>
        <w:jc w:val="both"/>
        <w:rPr>
          <w:rStyle w:val="Kiemels2"/>
          <w:b w:val="0"/>
        </w:rPr>
      </w:pPr>
      <w:r w:rsidRPr="00F648B1">
        <w:rPr>
          <w:rStyle w:val="Kiemels2"/>
          <w:b w:val="0"/>
        </w:rPr>
        <w:t xml:space="preserve">Az OKT javasolja továbbá, hogy a környezeti vizsgálat megállapításai és különösen a </w:t>
      </w:r>
      <w:proofErr w:type="spellStart"/>
      <w:r w:rsidRPr="00F648B1">
        <w:rPr>
          <w:rStyle w:val="Kiemels2"/>
          <w:b w:val="0"/>
        </w:rPr>
        <w:t>Natura</w:t>
      </w:r>
      <w:proofErr w:type="spellEnd"/>
      <w:r w:rsidRPr="00F648B1">
        <w:rPr>
          <w:rStyle w:val="Kiemels2"/>
          <w:b w:val="0"/>
        </w:rPr>
        <w:t xml:space="preserve"> 2000 hatásbecslés által föltárt – előre látható - konfliktusok kezelésének, feloldásának lehetséges módjai, következtetései jelenjenek meg az </w:t>
      </w:r>
      <w:proofErr w:type="spellStart"/>
      <w:r w:rsidRPr="00F648B1">
        <w:rPr>
          <w:rStyle w:val="Kiemels2"/>
          <w:b w:val="0"/>
        </w:rPr>
        <w:t>OTrT</w:t>
      </w:r>
      <w:proofErr w:type="spellEnd"/>
      <w:r w:rsidRPr="00F648B1">
        <w:rPr>
          <w:rStyle w:val="Kiemels2"/>
          <w:b w:val="0"/>
        </w:rPr>
        <w:t xml:space="preserve"> tervezet módosításában, amely vissza</w:t>
      </w:r>
      <w:r>
        <w:rPr>
          <w:rStyle w:val="Kiemels2"/>
          <w:b w:val="0"/>
        </w:rPr>
        <w:t>csatolás</w:t>
      </w:r>
      <w:r w:rsidRPr="00F648B1">
        <w:rPr>
          <w:rStyle w:val="Kiemels2"/>
          <w:b w:val="0"/>
        </w:rPr>
        <w:t xml:space="preserve"> most nem látható.</w:t>
      </w:r>
    </w:p>
    <w:p w:rsidR="00F648B1" w:rsidRDefault="00F648B1" w:rsidP="00F648B1">
      <w:pPr>
        <w:jc w:val="both"/>
        <w:rPr>
          <w:rStyle w:val="Kiemels2"/>
          <w:b w:val="0"/>
        </w:rPr>
      </w:pPr>
    </w:p>
    <w:p w:rsidR="00F648B1" w:rsidRDefault="00F648B1" w:rsidP="00F648B1">
      <w:pPr>
        <w:jc w:val="both"/>
        <w:rPr>
          <w:rStyle w:val="Kiemels2"/>
          <w:b w:val="0"/>
        </w:rPr>
      </w:pPr>
      <w:r>
        <w:rPr>
          <w:rStyle w:val="Kiemels2"/>
          <w:b w:val="0"/>
        </w:rPr>
        <w:t xml:space="preserve">Nyilvánvalóan megnehezíti az </w:t>
      </w:r>
      <w:proofErr w:type="spellStart"/>
      <w:r>
        <w:rPr>
          <w:rStyle w:val="Kiemels2"/>
          <w:b w:val="0"/>
        </w:rPr>
        <w:t>OTrT</w:t>
      </w:r>
      <w:proofErr w:type="spellEnd"/>
      <w:r>
        <w:rPr>
          <w:rStyle w:val="Kiemels2"/>
          <w:b w:val="0"/>
        </w:rPr>
        <w:t xml:space="preserve"> – és minden hosszú</w:t>
      </w:r>
      <w:r w:rsidR="00AC0A57">
        <w:rPr>
          <w:rStyle w:val="Kiemels2"/>
          <w:b w:val="0"/>
        </w:rPr>
        <w:t xml:space="preserve"> </w:t>
      </w:r>
      <w:r>
        <w:rPr>
          <w:rStyle w:val="Kiemels2"/>
          <w:b w:val="0"/>
        </w:rPr>
        <w:t xml:space="preserve">távú integráló terv és egymással összefüggő koncepció </w:t>
      </w:r>
      <w:r w:rsidR="00AC0A57">
        <w:rPr>
          <w:rStyle w:val="Kiemels2"/>
          <w:b w:val="0"/>
        </w:rPr>
        <w:t xml:space="preserve">– megfogalmazását, létrehozását, hogy az </w:t>
      </w:r>
      <w:proofErr w:type="spellStart"/>
      <w:r w:rsidR="00AC0A57">
        <w:rPr>
          <w:rStyle w:val="Kiemels2"/>
          <w:b w:val="0"/>
        </w:rPr>
        <w:t>OTrT</w:t>
      </w:r>
      <w:proofErr w:type="spellEnd"/>
      <w:r w:rsidR="00AC0A57">
        <w:rPr>
          <w:rStyle w:val="Kiemels2"/>
          <w:b w:val="0"/>
        </w:rPr>
        <w:t xml:space="preserve"> számára (is) döntő fontosságú „alapanyagok” még nincsenek készen, illetve – természetesen – állandóan változnak, mint a NES Cselekvési tervek, vagy a Nemzeti Közlekedési Stratégia, etc.</w:t>
      </w:r>
    </w:p>
    <w:p w:rsidR="00AC0A57" w:rsidRPr="00F648B1" w:rsidRDefault="00AC0A57" w:rsidP="00F648B1">
      <w:pPr>
        <w:jc w:val="both"/>
        <w:rPr>
          <w:rStyle w:val="Kiemels2"/>
          <w:b w:val="0"/>
        </w:rPr>
      </w:pPr>
    </w:p>
    <w:p w:rsidR="00F648B1" w:rsidRDefault="00F648B1" w:rsidP="00F648B1">
      <w:pPr>
        <w:jc w:val="both"/>
        <w:rPr>
          <w:rStyle w:val="Kiemels2"/>
          <w:b w:val="0"/>
        </w:rPr>
      </w:pPr>
      <w:r w:rsidRPr="00F648B1">
        <w:rPr>
          <w:rStyle w:val="Kiemels2"/>
          <w:b w:val="0"/>
        </w:rPr>
        <w:t>A dokumentum továbbtervezéséhez a fönti, általánosan érvényes megállapításokon túlmenően</w:t>
      </w:r>
      <w:r w:rsidR="00AC0A57">
        <w:rPr>
          <w:rStyle w:val="Kiemels2"/>
          <w:b w:val="0"/>
        </w:rPr>
        <w:t>, azok alapos megfontolására és – reménybeli</w:t>
      </w:r>
      <w:r w:rsidRPr="00F648B1">
        <w:rPr>
          <w:rStyle w:val="Kiemels2"/>
          <w:b w:val="0"/>
        </w:rPr>
        <w:t xml:space="preserve"> –</w:t>
      </w:r>
      <w:r w:rsidR="00AC0A57">
        <w:rPr>
          <w:rStyle w:val="Kiemels2"/>
          <w:b w:val="0"/>
        </w:rPr>
        <w:t xml:space="preserve"> hasznosításra megküldjük</w:t>
      </w:r>
      <w:r w:rsidRPr="00F648B1">
        <w:rPr>
          <w:rStyle w:val="Kiemels2"/>
          <w:b w:val="0"/>
        </w:rPr>
        <w:t xml:space="preserve"> a Tanács említett, állandó Bizottságai részletezőbb véleményét, javaslatait is.</w:t>
      </w:r>
    </w:p>
    <w:p w:rsidR="00AC0A57" w:rsidRPr="00F648B1" w:rsidRDefault="00AC0A57" w:rsidP="00F648B1">
      <w:pPr>
        <w:jc w:val="both"/>
        <w:rPr>
          <w:rStyle w:val="Kiemels2"/>
          <w:b w:val="0"/>
        </w:rPr>
      </w:pPr>
    </w:p>
    <w:p w:rsidR="008C7F05" w:rsidRPr="00AC0A57" w:rsidRDefault="00EF46C2" w:rsidP="00525A43">
      <w:pPr>
        <w:spacing w:after="120"/>
        <w:jc w:val="both"/>
        <w:rPr>
          <w:rStyle w:val="Kiemels2"/>
        </w:rPr>
      </w:pPr>
      <w:r w:rsidRPr="00AC0A57">
        <w:rPr>
          <w:rStyle w:val="Kiemels2"/>
        </w:rPr>
        <w:t xml:space="preserve">A </w:t>
      </w:r>
      <w:r w:rsidR="00967347" w:rsidRPr="00AC0A57">
        <w:rPr>
          <w:rStyle w:val="Kiemels2"/>
        </w:rPr>
        <w:t xml:space="preserve">Tanács </w:t>
      </w:r>
      <w:r w:rsidR="00483A8B" w:rsidRPr="00AC0A57">
        <w:rPr>
          <w:rStyle w:val="Kiemels2"/>
        </w:rPr>
        <w:t xml:space="preserve">tematikus </w:t>
      </w:r>
      <w:r w:rsidR="00AC0A57">
        <w:rPr>
          <w:rStyle w:val="Kiemels2"/>
        </w:rPr>
        <w:t>B</w:t>
      </w:r>
      <w:r w:rsidR="00483A8B" w:rsidRPr="00AC0A57">
        <w:rPr>
          <w:rStyle w:val="Kiemels2"/>
        </w:rPr>
        <w:t xml:space="preserve">izottságai </w:t>
      </w:r>
      <w:r w:rsidR="00967347" w:rsidRPr="00AC0A57">
        <w:rPr>
          <w:rStyle w:val="Kiemels2"/>
        </w:rPr>
        <w:t xml:space="preserve">a </w:t>
      </w:r>
      <w:r w:rsidR="00AC0A57">
        <w:rPr>
          <w:rStyle w:val="Kiemels2"/>
        </w:rPr>
        <w:t>fönti</w:t>
      </w:r>
      <w:r w:rsidRPr="00AC0A57">
        <w:rPr>
          <w:rStyle w:val="Kiemels2"/>
        </w:rPr>
        <w:t xml:space="preserve"> </w:t>
      </w:r>
      <w:r w:rsidR="00483A8B" w:rsidRPr="00AC0A57">
        <w:rPr>
          <w:rStyle w:val="Kiemels2"/>
        </w:rPr>
        <w:t>általános vélemény</w:t>
      </w:r>
      <w:r w:rsidR="008C7F05" w:rsidRPr="00AC0A57">
        <w:rPr>
          <w:rStyle w:val="Kiemels2"/>
        </w:rPr>
        <w:t xml:space="preserve"> </w:t>
      </w:r>
      <w:r w:rsidR="00AC0A57">
        <w:rPr>
          <w:rStyle w:val="Kiemels2"/>
        </w:rPr>
        <w:t>részletezőbb kifejtéseként</w:t>
      </w:r>
      <w:r w:rsidR="008C7F05" w:rsidRPr="00AC0A57">
        <w:rPr>
          <w:rStyle w:val="Kiemels2"/>
        </w:rPr>
        <w:t xml:space="preserve"> a következő észrevételeket teszi</w:t>
      </w:r>
      <w:r w:rsidR="00483A8B" w:rsidRPr="00AC0A57">
        <w:rPr>
          <w:rStyle w:val="Kiemels2"/>
        </w:rPr>
        <w:t>k</w:t>
      </w:r>
      <w:r w:rsidR="008C7F05" w:rsidRPr="00AC0A57">
        <w:rPr>
          <w:rStyle w:val="Kiemels2"/>
        </w:rPr>
        <w:t>:</w:t>
      </w:r>
    </w:p>
    <w:p w:rsidR="00F9235C" w:rsidRPr="00F9235C" w:rsidRDefault="00F9235C" w:rsidP="00F9235C">
      <w:pPr>
        <w:jc w:val="both"/>
        <w:rPr>
          <w:bCs/>
        </w:rPr>
      </w:pPr>
    </w:p>
    <w:p w:rsidR="00F9235C" w:rsidRPr="00A24BC9" w:rsidRDefault="008E79BC" w:rsidP="00F9235C">
      <w:pPr>
        <w:jc w:val="both"/>
        <w:rPr>
          <w:b/>
          <w:bCs/>
        </w:rPr>
      </w:pPr>
      <w:r>
        <w:rPr>
          <w:b/>
          <w:bCs/>
        </w:rPr>
        <w:t xml:space="preserve">Az OKT </w:t>
      </w:r>
      <w:r w:rsidR="00A24BC9" w:rsidRPr="00A24BC9">
        <w:rPr>
          <w:b/>
          <w:bCs/>
        </w:rPr>
        <w:t>Vízgazdálkodási és Vízminőség</w:t>
      </w:r>
      <w:r w:rsidR="00483A8B">
        <w:rPr>
          <w:b/>
          <w:bCs/>
        </w:rPr>
        <w:t>-</w:t>
      </w:r>
      <w:r w:rsidR="00A24BC9" w:rsidRPr="00A24BC9">
        <w:rPr>
          <w:b/>
          <w:bCs/>
        </w:rPr>
        <w:t>védelmi Bizottság észrevételei</w:t>
      </w:r>
    </w:p>
    <w:p w:rsidR="00F9235C" w:rsidRPr="00F9235C" w:rsidRDefault="00F9235C" w:rsidP="00F9235C">
      <w:pPr>
        <w:jc w:val="both"/>
        <w:rPr>
          <w:bCs/>
        </w:rPr>
      </w:pPr>
      <w:r w:rsidRPr="00F9235C">
        <w:rPr>
          <w:bCs/>
        </w:rPr>
        <w:t xml:space="preserve">A felülvizsgálatról készített alapdokumentum és a Környezeti Vizsgálatáról </w:t>
      </w:r>
      <w:r w:rsidR="008E79BC">
        <w:rPr>
          <w:bCs/>
        </w:rPr>
        <w:t>valamint a</w:t>
      </w:r>
      <w:r w:rsidRPr="00F9235C">
        <w:rPr>
          <w:bCs/>
        </w:rPr>
        <w:t xml:space="preserve"> </w:t>
      </w:r>
      <w:proofErr w:type="spellStart"/>
      <w:r w:rsidRPr="00F9235C">
        <w:rPr>
          <w:bCs/>
        </w:rPr>
        <w:t>Natura</w:t>
      </w:r>
      <w:proofErr w:type="spellEnd"/>
      <w:r w:rsidRPr="00F9235C">
        <w:rPr>
          <w:bCs/>
        </w:rPr>
        <w:t xml:space="preserve"> 2000 Hatásbecsléséről készített jelentés is sok helyen és elég részletesen foglalkozik vízgazdálkodási és vízvédelmi kérdésekkel. A részletekkel kapcsolatban számos megjegyzést lehetne tenni és sok kérdést feltenni, de ez nem </w:t>
      </w:r>
      <w:r w:rsidR="008E79BC">
        <w:rPr>
          <w:bCs/>
        </w:rPr>
        <w:t xml:space="preserve">az OKT </w:t>
      </w:r>
      <w:r w:rsidRPr="00F9235C">
        <w:rPr>
          <w:bCs/>
        </w:rPr>
        <w:t>feladat</w:t>
      </w:r>
      <w:r w:rsidR="008E79BC">
        <w:rPr>
          <w:bCs/>
        </w:rPr>
        <w:t>a</w:t>
      </w:r>
      <w:r w:rsidRPr="00F9235C">
        <w:rPr>
          <w:bCs/>
        </w:rPr>
        <w:t xml:space="preserve">. Az anyagból úgy tűnik – és egy ilyen természetű vizsgálat esetén talán nem is lehet másképpen, </w:t>
      </w:r>
      <w:r w:rsidR="00483A8B" w:rsidRPr="00F9235C">
        <w:rPr>
          <w:bCs/>
        </w:rPr>
        <w:t>–</w:t>
      </w:r>
      <w:r w:rsidR="00483A8B">
        <w:rPr>
          <w:bCs/>
        </w:rPr>
        <w:t xml:space="preserve"> </w:t>
      </w:r>
      <w:r w:rsidRPr="00F9235C">
        <w:rPr>
          <w:bCs/>
        </w:rPr>
        <w:t>hogy szerzők beleszerkesztettek az anyagba szinte minden információt, amit különböző vonatkozó dokumentumokban találtak. A területhasználat hatásaival kapcsolatban azonban az anyag csak túlságosan általános megállapításokat tartalmaz, és így a területhasználati tervezés és a vízgazdálkodási-vízvédelmi tervezés igazi integrációja nem eléggé valósul meg. A</w:t>
      </w:r>
      <w:r w:rsidR="00483A8B">
        <w:rPr>
          <w:bCs/>
        </w:rPr>
        <w:t>z előbbi általános észrevételek</w:t>
      </w:r>
      <w:r w:rsidRPr="00F9235C">
        <w:rPr>
          <w:bCs/>
        </w:rPr>
        <w:t xml:space="preserve"> részletes konkretizálása az egész anyagra vonatkozóan olyan nagy munka lenne, amire </w:t>
      </w:r>
      <w:r w:rsidR="008E79BC">
        <w:rPr>
          <w:bCs/>
        </w:rPr>
        <w:t>egy tanácsadó testület nem tud</w:t>
      </w:r>
      <w:r w:rsidRPr="00F9235C">
        <w:rPr>
          <w:bCs/>
        </w:rPr>
        <w:t xml:space="preserve"> vállalkozni</w:t>
      </w:r>
      <w:r w:rsidR="008E79BC">
        <w:rPr>
          <w:bCs/>
        </w:rPr>
        <w:t xml:space="preserve"> csupán / de a figyelmet fölhívni</w:t>
      </w:r>
      <w:r w:rsidRPr="00F9235C">
        <w:rPr>
          <w:bCs/>
        </w:rPr>
        <w:t>.</w:t>
      </w:r>
    </w:p>
    <w:p w:rsidR="00F9235C" w:rsidRPr="00F9235C" w:rsidRDefault="00F9235C" w:rsidP="00F9235C">
      <w:pPr>
        <w:jc w:val="both"/>
        <w:rPr>
          <w:bCs/>
        </w:rPr>
      </w:pPr>
    </w:p>
    <w:p w:rsidR="00F9235C" w:rsidRPr="00F9235C" w:rsidRDefault="00F9235C" w:rsidP="00F9235C">
      <w:pPr>
        <w:jc w:val="both"/>
        <w:rPr>
          <w:bCs/>
        </w:rPr>
      </w:pPr>
      <w:r w:rsidRPr="00F9235C">
        <w:rPr>
          <w:bCs/>
        </w:rPr>
        <w:t>A Környezeti Vizsgálattal kapcsolatban az OKT szintű véleményezésnek jobban megfelelő, ko</w:t>
      </w:r>
      <w:r w:rsidR="00483A8B">
        <w:rPr>
          <w:bCs/>
        </w:rPr>
        <w:t>ncepcionális észrevétel, hogy az</w:t>
      </w:r>
      <w:r w:rsidRPr="00F9235C">
        <w:rPr>
          <w:bCs/>
        </w:rPr>
        <w:t xml:space="preserve"> anyag említi ugyan a vízgyűjtő-gazdálkodási terveket, azonban ez nem elegendő. A Környezeti Vizsgálat keretében a Víz Keretirányelvben előírt teszteket ugyanúgy el kell végezni, mint a Natura 2000 hatásbecslést, ez azonban nem történt meg. A 2014-2020-as időszak EU támogatásaival kapcsolatos különböző információforrások szerint a fejlesztési támogatások odaítélés</w:t>
      </w:r>
      <w:r w:rsidR="00483A8B">
        <w:rPr>
          <w:bCs/>
        </w:rPr>
        <w:t>ének fontos követelménye lesz</w:t>
      </w:r>
      <w:r w:rsidRPr="00F9235C">
        <w:rPr>
          <w:bCs/>
        </w:rPr>
        <w:t xml:space="preserve">, hogy igazolni kell azt, hogy a tervezett </w:t>
      </w:r>
      <w:r w:rsidRPr="00F9235C">
        <w:rPr>
          <w:bCs/>
        </w:rPr>
        <w:lastRenderedPageBreak/>
        <w:t>fejlesztés a Víz Keretirányelv előírásai szerint környezeti szempontból engedélyezhető. Ezért felhívjuk a figyelmet a következőkre:</w:t>
      </w:r>
    </w:p>
    <w:p w:rsidR="00F9235C" w:rsidRPr="00F9235C" w:rsidRDefault="00F9235C" w:rsidP="00F9235C">
      <w:pPr>
        <w:jc w:val="both"/>
        <w:rPr>
          <w:bCs/>
        </w:rPr>
      </w:pPr>
    </w:p>
    <w:p w:rsidR="00F9235C" w:rsidRPr="00483A8B" w:rsidRDefault="00F9235C" w:rsidP="008E79BC">
      <w:pPr>
        <w:numPr>
          <w:ilvl w:val="0"/>
          <w:numId w:val="13"/>
        </w:numPr>
        <w:jc w:val="both"/>
        <w:rPr>
          <w:bCs/>
        </w:rPr>
      </w:pPr>
      <w:r w:rsidRPr="00483A8B">
        <w:rPr>
          <w:bCs/>
        </w:rPr>
        <w:t>A Natura 2000 hatásbecslés az európai jelentőségű fajokat és élőhelyeiket védi, a Víz Keretirányelv pedig az ország teljes területének (a vízgyűjtő-gazdálkodási tervben az ország teljes területén kijelölt víztesteknek) a teljes élővilágát. A Víz Keretirányelv a Natura 2000-es területeken is védi az élővilágot, minden fajt, nem csak a kiemelt fajokat és másképpen, mint a Natura 2000-es hatásbecslés.</w:t>
      </w:r>
      <w:r w:rsidR="00483A8B" w:rsidRPr="00483A8B">
        <w:rPr>
          <w:bCs/>
        </w:rPr>
        <w:t xml:space="preserve"> Előbbiek következtében nagyon fontos, hogy a vízi élővilág védelme, jó állapotának elérése és megőrzése érdekében mindkét vizsgálatot elvégezzék.</w:t>
      </w:r>
    </w:p>
    <w:p w:rsidR="00F9235C" w:rsidRPr="00F9235C" w:rsidRDefault="00F9235C" w:rsidP="008E79BC">
      <w:pPr>
        <w:numPr>
          <w:ilvl w:val="0"/>
          <w:numId w:val="13"/>
        </w:numPr>
        <w:jc w:val="both"/>
        <w:rPr>
          <w:bCs/>
        </w:rPr>
      </w:pPr>
      <w:r w:rsidRPr="00F9235C">
        <w:rPr>
          <w:bCs/>
        </w:rPr>
        <w:t xml:space="preserve">Minden olyan új fejlesztés esetén, amely a felszíni és/vagy felszín alatti vizeknek a Víz Keretirányelvben (VKI) előírt állapotát jelentős negatív értelemben befolyásolhatja, el kell végezni a VKI 4-7 tesztet, és a fejlesztést csak akkor szabad engedélyezni, ha a VKI-ben előírt követelmények teljesíthetők. </w:t>
      </w:r>
    </w:p>
    <w:p w:rsidR="00F9235C" w:rsidRPr="00F9235C" w:rsidRDefault="00F9235C" w:rsidP="008E79BC">
      <w:pPr>
        <w:numPr>
          <w:ilvl w:val="0"/>
          <w:numId w:val="13"/>
        </w:numPr>
        <w:jc w:val="both"/>
        <w:rPr>
          <w:bCs/>
        </w:rPr>
      </w:pPr>
      <w:r w:rsidRPr="00F9235C">
        <w:rPr>
          <w:bCs/>
        </w:rPr>
        <w:t>Az ország minden felszíni és felszín alatti víztestjét szigorú határidőkre (2015-re, 2021-re illetve 2027-re) legalább a VKI szerinti jó állapotba kell hozni és a jó állapotot meg kell őrizni. Azokat az intézkedéseket, amelyek a jelenleg érvényes vízgyűjtő-gazdálkodási tervben 2015-ös határidővel szerepelnek, kötelező végrehajtani. A vízgyűjtő-gazdálkodási terv mindhárom előbbi határidőre meghatározza azokat az intézkedéseket, amelyekkel a víztesteket fokozatosan, a VKI által előírt véghatáridőkre jó állapotba kell hozni. A határidőt csak akkor lehetett 2015 utánra halasztani, ha a vízgyűjtő-gazdálkodási tervben ezt a VKI-ben előírt és elfogadható módon meg tudták indokolni a tervezők. Mindez nagyon szoros összefüggésben van a területrendezési tervezéssel.</w:t>
      </w:r>
    </w:p>
    <w:p w:rsidR="00F9235C" w:rsidRPr="00F9235C" w:rsidRDefault="00F9235C" w:rsidP="008E79BC">
      <w:pPr>
        <w:numPr>
          <w:ilvl w:val="0"/>
          <w:numId w:val="13"/>
        </w:numPr>
        <w:jc w:val="both"/>
        <w:rPr>
          <w:bCs/>
        </w:rPr>
      </w:pPr>
      <w:r w:rsidRPr="00F9235C">
        <w:rPr>
          <w:bCs/>
        </w:rPr>
        <w:t>Javasoljuk</w:t>
      </w:r>
      <w:r w:rsidR="008E79BC">
        <w:rPr>
          <w:bCs/>
        </w:rPr>
        <w:t xml:space="preserve"> tehát – az általános részben is fölvetettek szerint –</w:t>
      </w:r>
      <w:r w:rsidRPr="00F9235C">
        <w:rPr>
          <w:bCs/>
        </w:rPr>
        <w:t>, hogy az előbbieknek a Környezeti Vizsgálatban való átvezetésére és a törvény felülvizsgálatáról szóló jelentés érintett részeinek átfogalmazásába vonjanak be a VKI-hez és a vízgyűjtő-gazdálkodási tervezéshez jól értő szakértőket.</w:t>
      </w:r>
    </w:p>
    <w:p w:rsidR="00F9235C" w:rsidRPr="00F9235C" w:rsidRDefault="00F9235C" w:rsidP="008E79BC">
      <w:pPr>
        <w:numPr>
          <w:ilvl w:val="0"/>
          <w:numId w:val="13"/>
        </w:numPr>
        <w:jc w:val="both"/>
        <w:rPr>
          <w:bCs/>
        </w:rPr>
      </w:pPr>
      <w:r w:rsidRPr="00F9235C">
        <w:rPr>
          <w:bCs/>
        </w:rPr>
        <w:t xml:space="preserve">A Környezeti Vizsgálatban említést kellene tenni a területhasználat változásoknak a határokon átnyúló hatásairól is, beleértve a Duna vízgyűjtőn felettünk lévő országokban történő változások hatásait Magyarországon és a nálunk történő változások hatásait az alattunk lévő országokban (pld. </w:t>
      </w:r>
      <w:r w:rsidR="00483A8B" w:rsidRPr="00F9235C">
        <w:rPr>
          <w:bCs/>
        </w:rPr>
        <w:t>árvíz levonulási</w:t>
      </w:r>
      <w:r w:rsidRPr="00F9235C">
        <w:rPr>
          <w:bCs/>
        </w:rPr>
        <w:t xml:space="preserve"> viszonyok változásai, vizek tápanyag-terhelésének változásai stb.).</w:t>
      </w:r>
    </w:p>
    <w:p w:rsidR="00F9235C" w:rsidRPr="00F9235C" w:rsidRDefault="00F9235C" w:rsidP="008E79BC">
      <w:pPr>
        <w:numPr>
          <w:ilvl w:val="0"/>
          <w:numId w:val="13"/>
        </w:numPr>
        <w:jc w:val="both"/>
        <w:rPr>
          <w:bCs/>
        </w:rPr>
      </w:pPr>
      <w:r w:rsidRPr="00F9235C">
        <w:rPr>
          <w:bCs/>
        </w:rPr>
        <w:t>Nem említik a jelentések a vonatkozó EU irányelv előírásai alapján készülő árvízkockázat kezelési terveket, amelyeknek a területhasználati tervezéssel szoros kapcsolata van, és a kölcsönhatásokat figyelembe kell venni.</w:t>
      </w:r>
    </w:p>
    <w:p w:rsidR="00F9235C" w:rsidRPr="00F9235C" w:rsidRDefault="00F9235C" w:rsidP="008E79BC">
      <w:pPr>
        <w:numPr>
          <w:ilvl w:val="0"/>
          <w:numId w:val="13"/>
        </w:numPr>
        <w:jc w:val="both"/>
        <w:rPr>
          <w:bCs/>
        </w:rPr>
      </w:pPr>
      <w:r w:rsidRPr="00F9235C">
        <w:rPr>
          <w:bCs/>
        </w:rPr>
        <w:t>Meg kell vizsgálni, hogy melyek azok a kötelezően végrehajtandó intézkedések az elfogadott vízgyűjtő-gazdálkodási tervekben, amelyeket szerepeltetni kell az or</w:t>
      </w:r>
      <w:r w:rsidR="006B580D">
        <w:rPr>
          <w:bCs/>
        </w:rPr>
        <w:t>szágos területrendezési tervben</w:t>
      </w:r>
      <w:r w:rsidRPr="00F9235C">
        <w:rPr>
          <w:bCs/>
        </w:rPr>
        <w:t xml:space="preserve"> és amelyek érvényesítését a területrendezési tervnek biztosítania kell</w:t>
      </w:r>
      <w:r w:rsidR="006B580D">
        <w:rPr>
          <w:bCs/>
        </w:rPr>
        <w:t>,</w:t>
      </w:r>
      <w:r w:rsidRPr="00F9235C">
        <w:rPr>
          <w:bCs/>
        </w:rPr>
        <w:t xml:space="preserve"> vagy amelyek érvényesítését a terv segítheti. Rá kell mutatni a területrendezési és vízgyűjtő-gazdálkodási terveknek azokra a részleteire, amelyeket a vízgyűjtő-gazdálkodási terv időhorizontjainak (2015, 2021, 2027) figyelembe vételével egyeztetni kell. Előbbi feladatok elvégzésének a tervben és a környezeti vizsgálatáról szóló jelentésben is meg kellene jelennie.</w:t>
      </w:r>
    </w:p>
    <w:p w:rsidR="008C7F05" w:rsidRDefault="008C7F05" w:rsidP="00D75E9A">
      <w:pPr>
        <w:jc w:val="both"/>
        <w:rPr>
          <w:rStyle w:val="Kiemels2"/>
          <w:b w:val="0"/>
        </w:rPr>
      </w:pPr>
    </w:p>
    <w:p w:rsidR="00A24BC9" w:rsidRPr="00A24BC9" w:rsidRDefault="00A24BC9" w:rsidP="00A24BC9">
      <w:pPr>
        <w:jc w:val="both"/>
        <w:rPr>
          <w:bCs/>
        </w:rPr>
      </w:pPr>
      <w:r w:rsidRPr="00A24BC9">
        <w:rPr>
          <w:b/>
          <w:bCs/>
        </w:rPr>
        <w:t>A</w:t>
      </w:r>
      <w:r w:rsidR="00E04971">
        <w:rPr>
          <w:b/>
          <w:bCs/>
        </w:rPr>
        <w:t>z OKT</w:t>
      </w:r>
      <w:r w:rsidRPr="00A24BC9">
        <w:rPr>
          <w:b/>
          <w:bCs/>
        </w:rPr>
        <w:t xml:space="preserve"> Hulladékpolitikai Bizottság </w:t>
      </w:r>
      <w:r w:rsidR="00E04971">
        <w:rPr>
          <w:b/>
          <w:bCs/>
        </w:rPr>
        <w:t>észrevételei, javaslatai</w:t>
      </w:r>
    </w:p>
    <w:p w:rsidR="00A24BC9" w:rsidRPr="00A24BC9" w:rsidRDefault="006B580D" w:rsidP="00A24BC9">
      <w:pPr>
        <w:jc w:val="both"/>
        <w:rPr>
          <w:bCs/>
        </w:rPr>
      </w:pPr>
      <w:r>
        <w:rPr>
          <w:bCs/>
        </w:rPr>
        <w:t xml:space="preserve">A </w:t>
      </w:r>
      <w:r w:rsidR="00E04971">
        <w:rPr>
          <w:bCs/>
        </w:rPr>
        <w:t>Bizottság</w:t>
      </w:r>
      <w:r>
        <w:rPr>
          <w:bCs/>
        </w:rPr>
        <w:t xml:space="preserve"> elismerését fejezi ki a VÁTI-nak</w:t>
      </w:r>
      <w:r w:rsidR="00A24BC9" w:rsidRPr="00A24BC9">
        <w:rPr>
          <w:bCs/>
        </w:rPr>
        <w:t xml:space="preserve"> a mega</w:t>
      </w:r>
      <w:r>
        <w:rPr>
          <w:bCs/>
        </w:rPr>
        <w:t>lapozó munkaanyag elkészítése során</w:t>
      </w:r>
      <w:r w:rsidR="00A24BC9" w:rsidRPr="00A24BC9">
        <w:rPr>
          <w:bCs/>
        </w:rPr>
        <w:t xml:space="preserve"> látható alapos</w:t>
      </w:r>
      <w:r>
        <w:rPr>
          <w:bCs/>
        </w:rPr>
        <w:t xml:space="preserve"> munkájáért</w:t>
      </w:r>
      <w:r w:rsidR="00A24BC9" w:rsidRPr="00A24BC9">
        <w:rPr>
          <w:bCs/>
        </w:rPr>
        <w:t xml:space="preserve">, legalábbis </w:t>
      </w:r>
      <w:r>
        <w:rPr>
          <w:bCs/>
        </w:rPr>
        <w:t xml:space="preserve">azért, hogy </w:t>
      </w:r>
      <w:r w:rsidR="00A24BC9" w:rsidRPr="00A24BC9">
        <w:rPr>
          <w:bCs/>
        </w:rPr>
        <w:t xml:space="preserve">igyekeztek összeszedni mindent, ami fellelhető. </w:t>
      </w:r>
      <w:r>
        <w:rPr>
          <w:bCs/>
        </w:rPr>
        <w:t>Ugyanakkor az abban</w:t>
      </w:r>
      <w:r w:rsidR="00A24BC9" w:rsidRPr="00A24BC9">
        <w:rPr>
          <w:bCs/>
        </w:rPr>
        <w:t xml:space="preserve"> felvetett elemzések és értékelések már sokkal kevésbé tükröződnek a javaslat megfogalmazásakor (ezekre később részletesen kitérünk).</w:t>
      </w:r>
    </w:p>
    <w:p w:rsidR="00A24BC9" w:rsidRPr="00A24BC9" w:rsidRDefault="00A24BC9" w:rsidP="00A24BC9">
      <w:pPr>
        <w:jc w:val="both"/>
        <w:rPr>
          <w:bCs/>
        </w:rPr>
      </w:pPr>
    </w:p>
    <w:p w:rsidR="00A24BC9" w:rsidRPr="00A24BC9" w:rsidRDefault="00A24BC9" w:rsidP="00A24BC9">
      <w:pPr>
        <w:jc w:val="both"/>
        <w:rPr>
          <w:bCs/>
        </w:rPr>
      </w:pPr>
      <w:r w:rsidRPr="00A24BC9">
        <w:rPr>
          <w:bCs/>
        </w:rPr>
        <w:t xml:space="preserve">Az általános észrevételeknél említett problémákra is tekintettel </w:t>
      </w:r>
      <w:r w:rsidR="00E04971">
        <w:rPr>
          <w:bCs/>
        </w:rPr>
        <w:t>hang</w:t>
      </w:r>
      <w:r w:rsidRPr="00A24BC9">
        <w:rPr>
          <w:bCs/>
        </w:rPr>
        <w:t xml:space="preserve">súlyosan </w:t>
      </w:r>
      <w:r w:rsidR="00E04971">
        <w:rPr>
          <w:bCs/>
        </w:rPr>
        <w:t>vethető föl</w:t>
      </w:r>
      <w:r w:rsidRPr="00A24BC9">
        <w:rPr>
          <w:bCs/>
        </w:rPr>
        <w:t>, hogy bizonyos területek egyszerűen kimaradtak a javaslatból, méghozzá olyanok, amelyek korábban benne voltak (vannak) az Országos Területrendezési Tervről szóló 2003. évi XXVI. törvényben. Ez főleg a következő témaköröket jelenti:</w:t>
      </w:r>
    </w:p>
    <w:p w:rsidR="00A24BC9" w:rsidRPr="00A24BC9" w:rsidRDefault="00A24BC9" w:rsidP="00A24BC9">
      <w:pPr>
        <w:jc w:val="both"/>
        <w:rPr>
          <w:bCs/>
        </w:rPr>
      </w:pPr>
    </w:p>
    <w:p w:rsidR="00A24BC9" w:rsidRPr="00A24BC9" w:rsidRDefault="00A24BC9" w:rsidP="006B580D">
      <w:pPr>
        <w:numPr>
          <w:ilvl w:val="0"/>
          <w:numId w:val="13"/>
        </w:numPr>
        <w:jc w:val="both"/>
        <w:rPr>
          <w:bCs/>
        </w:rPr>
      </w:pPr>
      <w:r w:rsidRPr="00A24BC9">
        <w:rPr>
          <w:bCs/>
        </w:rPr>
        <w:t>országos és térségi komplex tájrehabilitációt igénylő terület</w:t>
      </w:r>
    </w:p>
    <w:p w:rsidR="00A24BC9" w:rsidRPr="00A24BC9" w:rsidRDefault="00A24BC9" w:rsidP="006B580D">
      <w:pPr>
        <w:numPr>
          <w:ilvl w:val="0"/>
          <w:numId w:val="13"/>
        </w:numPr>
        <w:jc w:val="both"/>
        <w:rPr>
          <w:bCs/>
        </w:rPr>
      </w:pPr>
      <w:r w:rsidRPr="00A24BC9">
        <w:rPr>
          <w:bCs/>
        </w:rPr>
        <w:t>térségi hulladéklerakó hely és veszélyes hulladék ártalmatlanítás</w:t>
      </w:r>
    </w:p>
    <w:p w:rsidR="00A24BC9" w:rsidRPr="00A24BC9" w:rsidRDefault="00A24BC9" w:rsidP="006B580D">
      <w:pPr>
        <w:numPr>
          <w:ilvl w:val="0"/>
          <w:numId w:val="13"/>
        </w:numPr>
        <w:jc w:val="both"/>
        <w:rPr>
          <w:bCs/>
        </w:rPr>
      </w:pPr>
      <w:r w:rsidRPr="00A24BC9">
        <w:rPr>
          <w:bCs/>
        </w:rPr>
        <w:t>széleróziónak kitett terület</w:t>
      </w:r>
    </w:p>
    <w:p w:rsidR="00A24BC9" w:rsidRPr="00A24BC9" w:rsidRDefault="00A24BC9" w:rsidP="006B580D">
      <w:pPr>
        <w:numPr>
          <w:ilvl w:val="0"/>
          <w:numId w:val="13"/>
        </w:numPr>
        <w:jc w:val="both"/>
        <w:rPr>
          <w:bCs/>
        </w:rPr>
      </w:pPr>
      <w:r w:rsidRPr="00A24BC9">
        <w:rPr>
          <w:bCs/>
        </w:rPr>
        <w:t>vízeróziónak kitett területek</w:t>
      </w:r>
    </w:p>
    <w:p w:rsidR="00A24BC9" w:rsidRPr="00A24BC9" w:rsidRDefault="00A24BC9" w:rsidP="00A24BC9">
      <w:pPr>
        <w:jc w:val="both"/>
        <w:rPr>
          <w:bCs/>
        </w:rPr>
      </w:pPr>
    </w:p>
    <w:p w:rsidR="00A24BC9" w:rsidRPr="00A24BC9" w:rsidRDefault="00A24BC9" w:rsidP="00A24BC9">
      <w:pPr>
        <w:jc w:val="both"/>
        <w:rPr>
          <w:bCs/>
        </w:rPr>
      </w:pPr>
      <w:r w:rsidRPr="00A24BC9">
        <w:rPr>
          <w:bCs/>
        </w:rPr>
        <w:t>A fenti hiányokkal kapcsolatban a véleményünk a következő:</w:t>
      </w:r>
    </w:p>
    <w:p w:rsidR="00A24BC9" w:rsidRPr="00A24BC9" w:rsidRDefault="00A24BC9" w:rsidP="00A24BC9">
      <w:pPr>
        <w:jc w:val="both"/>
        <w:rPr>
          <w:bCs/>
        </w:rPr>
      </w:pPr>
    </w:p>
    <w:p w:rsidR="00A24BC9" w:rsidRPr="00A24BC9" w:rsidRDefault="00A24BC9" w:rsidP="00A24BC9">
      <w:pPr>
        <w:jc w:val="both"/>
        <w:rPr>
          <w:bCs/>
        </w:rPr>
      </w:pPr>
      <w:r w:rsidRPr="00A24BC9">
        <w:rPr>
          <w:b/>
          <w:bCs/>
        </w:rPr>
        <w:t>1</w:t>
      </w:r>
      <w:r w:rsidRPr="00A24BC9">
        <w:rPr>
          <w:b/>
          <w:bCs/>
        </w:rPr>
        <w:tab/>
        <w:t>Az országos és térségi komplex tájrehabilitációt igénylő terület</w:t>
      </w:r>
      <w:r w:rsidRPr="00A24BC9">
        <w:rPr>
          <w:bCs/>
        </w:rPr>
        <w:t xml:space="preserve"> fogalmának OTrT-ből történő kivételével kapcsolatban a javaslat indoklása a következőket tartalmazza:</w:t>
      </w:r>
    </w:p>
    <w:p w:rsidR="00A24BC9" w:rsidRPr="00A24BC9" w:rsidRDefault="00A24BC9" w:rsidP="00A24BC9">
      <w:pPr>
        <w:jc w:val="both"/>
        <w:rPr>
          <w:bCs/>
        </w:rPr>
      </w:pPr>
    </w:p>
    <w:p w:rsidR="00A24BC9" w:rsidRPr="00A24BC9" w:rsidRDefault="00A24BC9" w:rsidP="00A24BC9">
      <w:pPr>
        <w:jc w:val="both"/>
        <w:rPr>
          <w:bCs/>
          <w:i/>
        </w:rPr>
      </w:pPr>
      <w:r w:rsidRPr="00A24BC9">
        <w:rPr>
          <w:bCs/>
          <w:i/>
        </w:rPr>
        <w:t>„Az övezet – amelybe a felhagyott ipari termelés és az azt kiszolgáló bányászat együttes jelenléte következményeképp kialakult, maradandóan megváltozott és károsodott összefüggő területek tartoztak – fogalom meghatározásához illeszkedő lehatárolási módszertan, valamint országos szinten digitális adatbázis és adatszolgáltató szerv nem áll rendelkezésre. Az országos övezethez tartozó szabályozási előírást – miszerint az újrahasznosítás célját térségi szinten kell meghatározni – a megyei/kiemelt térségi területrendezési tervek nem tudták alkalmazni. Az újrahasznosítási cél a település és a bányászati hatóság egyeztetése alapján véglegesedik, ezért az újrahasznosítási célt nem térségi szinten, hanem a településrendezési eszközökben indokolt rögzíteni.</w:t>
      </w:r>
    </w:p>
    <w:p w:rsidR="00A24BC9" w:rsidRPr="00A24BC9" w:rsidRDefault="00A24BC9" w:rsidP="00A24BC9">
      <w:pPr>
        <w:jc w:val="both"/>
        <w:rPr>
          <w:bCs/>
        </w:rPr>
      </w:pPr>
      <w:r w:rsidRPr="00A24BC9">
        <w:rPr>
          <w:bCs/>
          <w:i/>
        </w:rPr>
        <w:t xml:space="preserve">Mindezeken túlmenően az övezeti tartalmak is jelentősen átfednek más övezeti tartalmakkal, ezért </w:t>
      </w:r>
      <w:r w:rsidRPr="00E04971">
        <w:rPr>
          <w:rFonts w:asciiTheme="majorHAnsi" w:hAnsiTheme="majorHAnsi"/>
          <w:bCs/>
          <w:i/>
        </w:rPr>
        <w:t>az országos és a térségi komplex tájrehabilitációt igénylő terület övezetének az OTrT törvényből való elhagyása indokolt</w:t>
      </w:r>
      <w:r w:rsidRPr="00A24BC9">
        <w:rPr>
          <w:bCs/>
          <w:i/>
        </w:rPr>
        <w:t xml:space="preserve">.” </w:t>
      </w:r>
      <w:r w:rsidR="006B580D">
        <w:rPr>
          <w:bCs/>
        </w:rPr>
        <w:t>(83. o.)</w:t>
      </w:r>
    </w:p>
    <w:p w:rsidR="00A24BC9" w:rsidRPr="00A24BC9" w:rsidRDefault="00A24BC9" w:rsidP="00A24BC9">
      <w:pPr>
        <w:jc w:val="both"/>
        <w:rPr>
          <w:bCs/>
        </w:rPr>
      </w:pPr>
    </w:p>
    <w:p w:rsidR="00A24BC9" w:rsidRPr="00A24BC9" w:rsidRDefault="00A24BC9" w:rsidP="00A24BC9">
      <w:pPr>
        <w:jc w:val="both"/>
        <w:rPr>
          <w:bCs/>
        </w:rPr>
      </w:pPr>
      <w:r w:rsidRPr="00A24BC9">
        <w:rPr>
          <w:bCs/>
          <w:i/>
        </w:rPr>
        <w:t xml:space="preserve">„Az övezet – amelybe a nagyobb területi kiterjedésű, esetenként több települést érintő bányászat okozta tájsebek, felhagyott anyagnyerőhelyek és hulladéklerakók területei tartoztak – fogalommeghatározásához illeszkedő lehatárolási módszertan, valamint digitális adatbázis nem áll rendelkezésre, az előzetes adatszolgáltatás az övezeti tartalom szerint a jelenlegi illetékesség alapján egy adatszolgáltatóval nem is megoldható. </w:t>
      </w:r>
      <w:r w:rsidRPr="00E04971">
        <w:rPr>
          <w:rFonts w:asciiTheme="majorHAnsi" w:hAnsiTheme="majorHAnsi"/>
          <w:bCs/>
          <w:i/>
        </w:rPr>
        <w:t>A fentiek miatt a térségi komplex tájrehabilitációt igénylő terület övezetének elhagyása indokolt.</w:t>
      </w:r>
      <w:r w:rsidRPr="00A24BC9">
        <w:rPr>
          <w:bCs/>
          <w:i/>
        </w:rPr>
        <w:t xml:space="preserve">” </w:t>
      </w:r>
      <w:r w:rsidRPr="00A24BC9">
        <w:rPr>
          <w:bCs/>
        </w:rPr>
        <w:t>(88. o.)</w:t>
      </w:r>
    </w:p>
    <w:p w:rsidR="00A24BC9" w:rsidRPr="00A24BC9" w:rsidRDefault="00A24BC9" w:rsidP="00A24BC9">
      <w:pPr>
        <w:jc w:val="both"/>
        <w:rPr>
          <w:bCs/>
        </w:rPr>
      </w:pPr>
      <w:r w:rsidRPr="00A24BC9">
        <w:rPr>
          <w:bCs/>
        </w:rPr>
        <w:t xml:space="preserve">Kérdésként vetődik föl, hogy ha eddig sem volt adatbázis és adatszolgáltató szerv, akkor miért volt benne a törvényben, </w:t>
      </w:r>
      <w:r w:rsidR="00D5765A">
        <w:rPr>
          <w:bCs/>
        </w:rPr>
        <w:t xml:space="preserve">jóllehet ezzel már nem érdemes foglalkozni, hacsak azért nem, hogy </w:t>
      </w:r>
      <w:r w:rsidRPr="00A24BC9">
        <w:rPr>
          <w:bCs/>
        </w:rPr>
        <w:t xml:space="preserve">ha volt, akkor hová lett. Véleményünk szerint egy tervnek, ha valamiről nincs információ, nem azt a </w:t>
      </w:r>
      <w:r w:rsidRPr="00A24BC9">
        <w:rPr>
          <w:bCs/>
        </w:rPr>
        <w:lastRenderedPageBreak/>
        <w:t xml:space="preserve">megoldást kell választania, hogy egyszerűen kihagyja, hanem </w:t>
      </w:r>
      <w:r w:rsidR="00035DF9">
        <w:rPr>
          <w:bCs/>
        </w:rPr>
        <w:t>javaslatot</w:t>
      </w:r>
      <w:r w:rsidRPr="00A24BC9">
        <w:rPr>
          <w:bCs/>
        </w:rPr>
        <w:t xml:space="preserve"> kell</w:t>
      </w:r>
      <w:r w:rsidR="00035DF9">
        <w:rPr>
          <w:bCs/>
        </w:rPr>
        <w:t xml:space="preserve"> tennie arra</w:t>
      </w:r>
      <w:r w:rsidRPr="00A24BC9">
        <w:rPr>
          <w:bCs/>
        </w:rPr>
        <w:t>, hogy a szükséges adatok megteremtődj</w:t>
      </w:r>
      <w:r w:rsidR="00035DF9">
        <w:rPr>
          <w:bCs/>
        </w:rPr>
        <w:t>enek. Nagyon fontosnak tartjuk</w:t>
      </w:r>
      <w:r w:rsidRPr="00A24BC9">
        <w:rPr>
          <w:bCs/>
        </w:rPr>
        <w:t xml:space="preserve">, hogy legyen </w:t>
      </w:r>
      <w:r w:rsidR="00035DF9">
        <w:rPr>
          <w:bCs/>
        </w:rPr>
        <w:t>ismeretünk</w:t>
      </w:r>
      <w:r w:rsidRPr="00A24BC9">
        <w:rPr>
          <w:bCs/>
        </w:rPr>
        <w:t xml:space="preserve"> ezekről a területekről, </w:t>
      </w:r>
      <w:r w:rsidR="00035DF9">
        <w:rPr>
          <w:bCs/>
        </w:rPr>
        <w:t>mert ez</w:t>
      </w:r>
      <w:r w:rsidRPr="00A24BC9">
        <w:rPr>
          <w:bCs/>
        </w:rPr>
        <w:t xml:space="preserve"> a későbbi területhasználatot </w:t>
      </w:r>
      <w:r w:rsidR="00035DF9">
        <w:rPr>
          <w:bCs/>
        </w:rPr>
        <w:t>alapvető módon</w:t>
      </w:r>
      <w:r w:rsidRPr="00A24BC9">
        <w:rPr>
          <w:bCs/>
        </w:rPr>
        <w:t xml:space="preserve"> meghatározza. Különösen fontosnak tartjuk ezt a </w:t>
      </w:r>
      <w:proofErr w:type="spellStart"/>
      <w:r w:rsidRPr="00A24BC9">
        <w:rPr>
          <w:bCs/>
        </w:rPr>
        <w:t>rekultiválandó</w:t>
      </w:r>
      <w:proofErr w:type="spellEnd"/>
      <w:r w:rsidR="00035DF9">
        <w:rPr>
          <w:bCs/>
        </w:rPr>
        <w:t>,</w:t>
      </w:r>
      <w:r w:rsidRPr="00A24BC9">
        <w:rPr>
          <w:bCs/>
        </w:rPr>
        <w:t xml:space="preserve"> bezárt hulladéklerakók eseté</w:t>
      </w:r>
      <w:r w:rsidR="00035DF9">
        <w:rPr>
          <w:bCs/>
        </w:rPr>
        <w:t>be</w:t>
      </w:r>
      <w:r w:rsidRPr="00A24BC9">
        <w:rPr>
          <w:bCs/>
        </w:rPr>
        <w:t xml:space="preserve">n, </w:t>
      </w:r>
      <w:r w:rsidR="00035DF9">
        <w:rPr>
          <w:bCs/>
        </w:rPr>
        <w:t>tekintettel arra, hogy</w:t>
      </w:r>
      <w:r w:rsidRPr="00A24BC9">
        <w:rPr>
          <w:bCs/>
        </w:rPr>
        <w:t xml:space="preserve"> </w:t>
      </w:r>
      <w:proofErr w:type="gramStart"/>
      <w:r w:rsidRPr="00A24BC9">
        <w:rPr>
          <w:bCs/>
        </w:rPr>
        <w:t>több, mint</w:t>
      </w:r>
      <w:proofErr w:type="gramEnd"/>
      <w:r w:rsidRPr="00A24BC9">
        <w:rPr>
          <w:bCs/>
        </w:rPr>
        <w:t xml:space="preserve"> 2500 lerakó került bezárásra az elmúlt 10-15 év során (ezek listáj</w:t>
      </w:r>
      <w:r w:rsidR="00035DF9">
        <w:rPr>
          <w:bCs/>
        </w:rPr>
        <w:t>a és térképe a VM-ben elérhető).</w:t>
      </w:r>
      <w:r w:rsidRPr="00A24BC9">
        <w:rPr>
          <w:bCs/>
        </w:rPr>
        <w:t xml:space="preserve"> </w:t>
      </w:r>
      <w:r w:rsidR="00035DF9">
        <w:rPr>
          <w:bCs/>
        </w:rPr>
        <w:t>A</w:t>
      </w:r>
      <w:r w:rsidRPr="00A24BC9">
        <w:rPr>
          <w:bCs/>
        </w:rPr>
        <w:t xml:space="preserve"> </w:t>
      </w:r>
      <w:r w:rsidR="007404A6" w:rsidRPr="00A24BC9">
        <w:rPr>
          <w:bCs/>
        </w:rPr>
        <w:t>rekultivációs</w:t>
      </w:r>
      <w:r w:rsidRPr="00A24BC9">
        <w:rPr>
          <w:bCs/>
        </w:rPr>
        <w:t xml:space="preserve"> programok előrehaladásáról pedig az NFÜ-nek vannak ismeretei.</w:t>
      </w:r>
    </w:p>
    <w:p w:rsidR="00035DF9" w:rsidRPr="00A24BC9" w:rsidRDefault="00035DF9" w:rsidP="00035DF9">
      <w:pPr>
        <w:jc w:val="both"/>
        <w:rPr>
          <w:bCs/>
        </w:rPr>
      </w:pPr>
      <w:r w:rsidRPr="00D5765A">
        <w:rPr>
          <w:bCs/>
          <w:highlight w:val="yellow"/>
        </w:rPr>
        <w:t>ITT TARTOK</w:t>
      </w:r>
      <w:proofErr w:type="gramStart"/>
      <w:r w:rsidRPr="00D5765A">
        <w:rPr>
          <w:bCs/>
          <w:highlight w:val="yellow"/>
        </w:rPr>
        <w:t>!!!</w:t>
      </w:r>
      <w:proofErr w:type="gramEnd"/>
    </w:p>
    <w:p w:rsidR="00A24BC9" w:rsidRPr="00A24BC9" w:rsidRDefault="00A24BC9" w:rsidP="00A24BC9">
      <w:pPr>
        <w:jc w:val="both"/>
        <w:rPr>
          <w:bCs/>
        </w:rPr>
      </w:pPr>
    </w:p>
    <w:p w:rsidR="00A24BC9" w:rsidRPr="00A24BC9" w:rsidRDefault="00A24BC9" w:rsidP="00A24BC9">
      <w:pPr>
        <w:jc w:val="both"/>
        <w:rPr>
          <w:bCs/>
        </w:rPr>
      </w:pPr>
      <w:r w:rsidRPr="00A24BC9">
        <w:rPr>
          <w:b/>
          <w:bCs/>
        </w:rPr>
        <w:t>2</w:t>
      </w:r>
      <w:r w:rsidRPr="00A24BC9">
        <w:rPr>
          <w:b/>
          <w:bCs/>
        </w:rPr>
        <w:tab/>
        <w:t>A térségi hulladéklerakó hely</w:t>
      </w:r>
      <w:r w:rsidRPr="00A24BC9">
        <w:rPr>
          <w:bCs/>
        </w:rPr>
        <w:t xml:space="preserve"> fogalmának és az OTrT-ből való kiiktatásának magyarázatát a következők szerint adja meg az indoklás:</w:t>
      </w:r>
    </w:p>
    <w:p w:rsidR="00A24BC9" w:rsidRPr="00A24BC9" w:rsidRDefault="007404A6" w:rsidP="00A24BC9">
      <w:pPr>
        <w:jc w:val="both"/>
        <w:rPr>
          <w:bCs/>
          <w:i/>
        </w:rPr>
      </w:pPr>
      <w:r w:rsidRPr="00A24BC9">
        <w:rPr>
          <w:bCs/>
          <w:i/>
        </w:rPr>
        <w:t xml:space="preserve"> </w:t>
      </w:r>
      <w:r w:rsidR="00A24BC9" w:rsidRPr="00A24BC9">
        <w:rPr>
          <w:bCs/>
          <w:i/>
        </w:rPr>
        <w:t>„A rendszeres hulladékgyűjtésbe bevont lakások aránya a 2008.évi OTrT törvény elfogadása óta országosan elérte a 93%-ot, ami a belterületen található lakásokra nézve gyakorlatilag teljes ellátottságot jelent. 2009 közepéig bezártak a nem EU-konform települési szilárd hulladéklerakók, helyüket átvette az a mintegy 80 regionális lerakó, amelyek beszállítási körzetei lefedik közel az ország egész területét.</w:t>
      </w:r>
    </w:p>
    <w:p w:rsidR="00A24BC9" w:rsidRPr="00A24BC9" w:rsidRDefault="00A24BC9" w:rsidP="00A24BC9">
      <w:pPr>
        <w:jc w:val="both"/>
        <w:rPr>
          <w:bCs/>
          <w:i/>
        </w:rPr>
      </w:pPr>
      <w:r w:rsidRPr="00A24BC9">
        <w:rPr>
          <w:bCs/>
          <w:i/>
        </w:rPr>
        <w:t xml:space="preserve">A lerakásra kerülő szilárd települési hulladékok mennyisége a prognózisok alapján más hasznosítási módok részarányának emelkedése miatt országosan várhatóan nem nő, </w:t>
      </w:r>
      <w:r w:rsidRPr="00A24BC9">
        <w:rPr>
          <w:bCs/>
          <w:i/>
          <w:u w:val="single"/>
        </w:rPr>
        <w:t>ezért új térségi lerakók helyének kijelölése és létesítése a hatályos megyei területrendezési tervek érvényességi ideje alatt nem valószínű</w:t>
      </w:r>
      <w:r w:rsidRPr="00A24BC9">
        <w:rPr>
          <w:bCs/>
          <w:i/>
        </w:rPr>
        <w:t xml:space="preserve">. </w:t>
      </w:r>
    </w:p>
    <w:p w:rsidR="00A24BC9" w:rsidRPr="00A24BC9" w:rsidRDefault="00A24BC9" w:rsidP="00A24BC9">
      <w:pPr>
        <w:jc w:val="both"/>
        <w:rPr>
          <w:bCs/>
          <w:i/>
        </w:rPr>
      </w:pPr>
      <w:r w:rsidRPr="00A24BC9">
        <w:rPr>
          <w:bCs/>
          <w:i/>
        </w:rPr>
        <w:t>Fentiek miatt az OTrT törvény 2008. évi módosítása óta felülvizsgált és jóváhagyott kiemelt térségi és megyei területrendezési tervekre jellemző, hogy az övezet lehatárolása vagy egyáltalán nem történt meg, vagy csak megyei önkormányzati határozattal, ajánlásként került elfogadásra.</w:t>
      </w:r>
    </w:p>
    <w:p w:rsidR="00A24BC9" w:rsidRPr="00A24BC9" w:rsidRDefault="00A24BC9" w:rsidP="00A24BC9">
      <w:pPr>
        <w:jc w:val="both"/>
        <w:rPr>
          <w:bCs/>
          <w:i/>
        </w:rPr>
      </w:pPr>
      <w:r w:rsidRPr="00A24BC9">
        <w:rPr>
          <w:bCs/>
          <w:i/>
          <w:u w:val="single"/>
        </w:rPr>
        <w:t>Mindezek alapján a térségi hulladéklerakó hely kijelöléséhez vizsgálat alá vonható terület övezetelhagyása javasolt</w:t>
      </w:r>
      <w:r w:rsidRPr="00A24BC9">
        <w:rPr>
          <w:bCs/>
          <w:i/>
        </w:rPr>
        <w:t>.”</w:t>
      </w:r>
    </w:p>
    <w:p w:rsidR="00A24BC9" w:rsidRDefault="00A24BC9" w:rsidP="00A24BC9">
      <w:pPr>
        <w:jc w:val="both"/>
        <w:rPr>
          <w:bCs/>
        </w:rPr>
      </w:pPr>
      <w:r w:rsidRPr="00A24BC9">
        <w:rPr>
          <w:bCs/>
        </w:rPr>
        <w:t xml:space="preserve">A javaslat elkészítője téves következtetésekre jut azzal kapcsolatban, hogy várható-e újabb települési lerakó építése. Véleményünk szerint várható. </w:t>
      </w:r>
    </w:p>
    <w:p w:rsidR="008C6069" w:rsidRPr="00A24BC9" w:rsidRDefault="008C6069" w:rsidP="00A24BC9">
      <w:pPr>
        <w:jc w:val="both"/>
        <w:rPr>
          <w:bCs/>
        </w:rPr>
      </w:pPr>
    </w:p>
    <w:p w:rsidR="00A24BC9" w:rsidRPr="00A24BC9" w:rsidRDefault="00A24BC9" w:rsidP="00A24BC9">
      <w:pPr>
        <w:jc w:val="both"/>
        <w:rPr>
          <w:bCs/>
        </w:rPr>
      </w:pPr>
      <w:r w:rsidRPr="00A24BC9">
        <w:rPr>
          <w:bCs/>
        </w:rPr>
        <w:t>A hulladékról szóló 2012. évi CLXXXV törvény (Ht.) kiiktatta a térségi hulladéklerakó létesítés elvét, amelyet a hatályát vesztett hulladékgazdálkodási törvény eddig tartalmazott. Mivel a Ht. megszüntette a helyi hulladékgazdálkodási tervezést is (települési és megyei szinten egyaránt), nem világos, hogy hol, milyen módon lesz ter</w:t>
      </w:r>
      <w:r w:rsidR="007404A6">
        <w:rPr>
          <w:bCs/>
        </w:rPr>
        <w:t>v</w:t>
      </w:r>
      <w:r w:rsidRPr="00A24BC9">
        <w:rPr>
          <w:bCs/>
        </w:rPr>
        <w:t>ezve és egyeztetve a településeken létesítendő lerakók megvalósíthatósága, ha még az OTrT-ből is kikerül. Ugyanez érvényes egyébként az építési-bontási hulladékok lerakására alkalmas területek kijelölésére is, aminek jogosultjai eddig az önkormányzatok voltak, és szintén a települési hulladékgazdálkodási tervekben kellett szerepeltetni.</w:t>
      </w:r>
    </w:p>
    <w:p w:rsidR="00A24BC9" w:rsidRPr="00A24BC9" w:rsidRDefault="00A24BC9" w:rsidP="00A24BC9">
      <w:pPr>
        <w:jc w:val="both"/>
        <w:rPr>
          <w:bCs/>
        </w:rPr>
      </w:pPr>
    </w:p>
    <w:p w:rsidR="00A24BC9" w:rsidRPr="00A24BC9" w:rsidRDefault="00A24BC9" w:rsidP="00A24BC9">
      <w:pPr>
        <w:jc w:val="both"/>
        <w:rPr>
          <w:bCs/>
        </w:rPr>
      </w:pPr>
      <w:r w:rsidRPr="00A24BC9">
        <w:rPr>
          <w:bCs/>
        </w:rPr>
        <w:t xml:space="preserve">Összegezve tehát, véleményünk szerint az OTrT javaslatnak ezen része az utolsó akadály az ellenőrizetlen, tervezés nélküli lerakó létesítésnek. </w:t>
      </w:r>
    </w:p>
    <w:p w:rsidR="00A24BC9" w:rsidRPr="00A24BC9" w:rsidRDefault="00A24BC9" w:rsidP="00A24BC9">
      <w:pPr>
        <w:jc w:val="both"/>
        <w:rPr>
          <w:bCs/>
        </w:rPr>
      </w:pPr>
    </w:p>
    <w:p w:rsidR="00A24BC9" w:rsidRPr="00A24BC9" w:rsidRDefault="00A24BC9" w:rsidP="00A24BC9">
      <w:pPr>
        <w:jc w:val="both"/>
        <w:rPr>
          <w:bCs/>
        </w:rPr>
      </w:pPr>
      <w:r w:rsidRPr="00A24BC9">
        <w:rPr>
          <w:bCs/>
        </w:rPr>
        <w:t xml:space="preserve">A javaslat kizárólag a veszélyes hulladék ártalmatlanító üzemeket tartalmazza, bár azt is hibásan. </w:t>
      </w:r>
    </w:p>
    <w:p w:rsidR="00A24BC9" w:rsidRPr="00A24BC9" w:rsidRDefault="00A24BC9" w:rsidP="00A24BC9">
      <w:pPr>
        <w:jc w:val="both"/>
        <w:rPr>
          <w:bCs/>
        </w:rPr>
      </w:pPr>
    </w:p>
    <w:p w:rsidR="00A24BC9" w:rsidRPr="00A24BC9" w:rsidRDefault="00A24BC9" w:rsidP="00A24BC9">
      <w:pPr>
        <w:jc w:val="both"/>
        <w:rPr>
          <w:bCs/>
        </w:rPr>
      </w:pPr>
      <w:r w:rsidRPr="00A24BC9">
        <w:rPr>
          <w:bCs/>
        </w:rPr>
        <w:t xml:space="preserve">Veszélyes hulladék égetők száma 19, a lerakók száma 16. Az indoklás ugyan utal arra (73. oldal), hogy az „Ország Szerkezeti Terven feltüntetett hat veszélyeshulladék-ártalmatlanítón kívül </w:t>
      </w:r>
      <w:r w:rsidRPr="00A24BC9">
        <w:rPr>
          <w:bCs/>
        </w:rPr>
        <w:lastRenderedPageBreak/>
        <w:t xml:space="preserve">időközben több ilyen létesítményt is üzembe helyeztek, így azok kiegészítésre kerültek a hiányzó fogalom-meghatározással együtt”, de ezen „új” létesítmények feltüntetése hiányzik. </w:t>
      </w:r>
    </w:p>
    <w:p w:rsidR="00A24BC9" w:rsidRPr="00A24BC9" w:rsidRDefault="00A24BC9" w:rsidP="00A24BC9">
      <w:pPr>
        <w:jc w:val="both"/>
        <w:rPr>
          <w:bCs/>
        </w:rPr>
      </w:pPr>
    </w:p>
    <w:p w:rsidR="00A24BC9" w:rsidRPr="00A24BC9" w:rsidRDefault="00A24BC9" w:rsidP="00A24BC9">
      <w:pPr>
        <w:jc w:val="both"/>
        <w:rPr>
          <w:bCs/>
        </w:rPr>
      </w:pPr>
      <w:r w:rsidRPr="00A24BC9">
        <w:rPr>
          <w:b/>
          <w:bCs/>
        </w:rPr>
        <w:t>3, 4</w:t>
      </w:r>
      <w:r w:rsidRPr="00A24BC9">
        <w:rPr>
          <w:b/>
          <w:bCs/>
        </w:rPr>
        <w:tab/>
        <w:t xml:space="preserve">A szél- és vízeróziónak kitett területek </w:t>
      </w:r>
      <w:r w:rsidRPr="00A24BC9">
        <w:rPr>
          <w:bCs/>
        </w:rPr>
        <w:t>elhagyása a javaslatból szintén arra való utalással történik, hogy „</w:t>
      </w:r>
      <w:r w:rsidRPr="00A24BC9">
        <w:rPr>
          <w:bCs/>
          <w:i/>
        </w:rPr>
        <w:t>Az övezetre vonatkozó szabály a talajvédelmet csak közvetett módon és irányelvként segíti, ezen túlmenően a lehatároláshoz szükséges előzetes adatszolgáltatást a szaktárca, vagy egyéb államigazgatási szerv nem tudja szolgáltatni</w:t>
      </w:r>
      <w:r w:rsidRPr="00A24BC9">
        <w:rPr>
          <w:bCs/>
        </w:rPr>
        <w:t>.” Ugyanakkor a munkaanyag meglehetősen jó térképeket tartalmaz ezekről a területekről. Ezért nem érthető az elhagyás.</w:t>
      </w:r>
    </w:p>
    <w:p w:rsidR="00A24BC9" w:rsidRPr="00A24BC9" w:rsidRDefault="00A24BC9" w:rsidP="00A24BC9">
      <w:pPr>
        <w:jc w:val="both"/>
        <w:rPr>
          <w:bCs/>
        </w:rPr>
      </w:pPr>
    </w:p>
    <w:p w:rsidR="00A24BC9" w:rsidRPr="00A24BC9" w:rsidRDefault="00A24BC9" w:rsidP="00A24BC9">
      <w:pPr>
        <w:jc w:val="both"/>
        <w:rPr>
          <w:b/>
          <w:bCs/>
        </w:rPr>
      </w:pPr>
      <w:r w:rsidRPr="00A24BC9">
        <w:rPr>
          <w:b/>
          <w:bCs/>
        </w:rPr>
        <w:t>Vélemény a munkaanyagról</w:t>
      </w:r>
    </w:p>
    <w:p w:rsidR="00A24BC9" w:rsidRPr="00A24BC9" w:rsidRDefault="00A24BC9" w:rsidP="00A24BC9">
      <w:pPr>
        <w:jc w:val="both"/>
        <w:rPr>
          <w:bCs/>
        </w:rPr>
      </w:pPr>
      <w:r w:rsidRPr="00A24BC9">
        <w:rPr>
          <w:bCs/>
        </w:rPr>
        <w:t>A munkaanyag „Környezeti elemek és a területrendezés kapcsolata” című fejezete a vízminőségi területen meglehetősen jól összeszedett alapokra épít. Szerencsé</w:t>
      </w:r>
      <w:r w:rsidR="0087448B">
        <w:rPr>
          <w:bCs/>
        </w:rPr>
        <w:t xml:space="preserve">s, hogy az </w:t>
      </w:r>
      <w:r w:rsidRPr="00A24BC9">
        <w:rPr>
          <w:bCs/>
        </w:rPr>
        <w:t>Országos Vízgyűjtőgazdálkodási Terv kellő, és friss információkat biztosított ehhez. Viszonylag jó adatok állnak rendelkezésre a kármentesített, illetve károsodott területekről is, mivel itt 2008-ban készült az utolsó átfogó jelentés. Ugyanakkor ezek az OTrT javaslatban egyáltalán nem szerepelnek, igaz, korábban sem voltak benne. Ebben talán előbbre lehetett volna lépni, hiszen a kármentesítésre váró területek számbavétele a ter</w:t>
      </w:r>
      <w:r w:rsidR="0087448B">
        <w:rPr>
          <w:bCs/>
        </w:rPr>
        <w:t>v</w:t>
      </w:r>
      <w:r w:rsidRPr="00A24BC9">
        <w:rPr>
          <w:bCs/>
        </w:rPr>
        <w:t xml:space="preserve">ezett területhasználatok szempontjából meghatározó lehet. A kármentesítés szó a javaslatban </w:t>
      </w:r>
      <w:r w:rsidR="0087448B">
        <w:rPr>
          <w:bCs/>
        </w:rPr>
        <w:t xml:space="preserve">egyáltalán </w:t>
      </w:r>
      <w:r w:rsidRPr="00A24BC9">
        <w:rPr>
          <w:bCs/>
        </w:rPr>
        <w:t>nem szerepel.</w:t>
      </w:r>
    </w:p>
    <w:p w:rsidR="00A24BC9" w:rsidRPr="00A24BC9" w:rsidRDefault="00A24BC9" w:rsidP="00A24BC9">
      <w:pPr>
        <w:jc w:val="both"/>
        <w:rPr>
          <w:bCs/>
        </w:rPr>
      </w:pPr>
    </w:p>
    <w:p w:rsidR="00A24BC9" w:rsidRPr="00A24BC9" w:rsidRDefault="00A24BC9" w:rsidP="00A24BC9">
      <w:pPr>
        <w:jc w:val="both"/>
        <w:rPr>
          <w:bCs/>
        </w:rPr>
      </w:pPr>
      <w:r w:rsidRPr="00A24BC9">
        <w:rPr>
          <w:bCs/>
        </w:rPr>
        <w:t xml:space="preserve">A hulladékgazdálkodást érintő részeket tekintve leginkább a képződő mennyiségek elemzését végzi el a tanulmány, a kezelőművek területi elhelyezkedéséről semmi szót nem ejt. Nem is tud, mivel az OHT dokumentumok, habár javaslatban léteznek, soha nem váltak hivatalos dokumentumokká, pedig ma ez az egyetlen olyan anyag, amely átfogóan bemutatja a hazai </w:t>
      </w:r>
      <w:r w:rsidR="0087448B">
        <w:rPr>
          <w:bCs/>
        </w:rPr>
        <w:t xml:space="preserve">helyzetet. A veszélyes hulladék </w:t>
      </w:r>
      <w:r w:rsidRPr="00A24BC9">
        <w:rPr>
          <w:bCs/>
        </w:rPr>
        <w:t>ártalmatlanító művek bemutatása hiányos. Sajnálatos módon a KV sem foglalkozik a hulladék elhelyezés kérdéseivel, ezért nem érthető, miből tudta levezetni, hogy az OTrT-ben a veszélyes hulladék ártalmatlanítókon kívül más tevékenységet nem kell figyelembe venni.</w:t>
      </w:r>
    </w:p>
    <w:p w:rsidR="00A24BC9" w:rsidRPr="00A24BC9" w:rsidRDefault="00A24BC9" w:rsidP="00A24BC9">
      <w:pPr>
        <w:jc w:val="both"/>
        <w:rPr>
          <w:bCs/>
        </w:rPr>
      </w:pPr>
    </w:p>
    <w:p w:rsidR="00A24BC9" w:rsidRPr="00A24BC9" w:rsidRDefault="00A24BC9" w:rsidP="00A24BC9">
      <w:pPr>
        <w:jc w:val="both"/>
        <w:rPr>
          <w:bCs/>
        </w:rPr>
      </w:pPr>
      <w:r w:rsidRPr="00A24BC9">
        <w:rPr>
          <w:bCs/>
        </w:rPr>
        <w:t>Kifejezetten szakmaiatlan az a megállapítás, hogy: „</w:t>
      </w:r>
      <w:r w:rsidRPr="00A24BC9">
        <w:rPr>
          <w:bCs/>
          <w:i/>
        </w:rPr>
        <w:t>A területrendezés a környezeti elemek közül a levegőre és a zajra nincs közvetlen hatással.</w:t>
      </w:r>
      <w:r w:rsidRPr="00A24BC9">
        <w:rPr>
          <w:bCs/>
        </w:rPr>
        <w:t xml:space="preserve">” (67. o.). </w:t>
      </w:r>
    </w:p>
    <w:p w:rsidR="00A24BC9" w:rsidRPr="00A24BC9" w:rsidRDefault="00A24BC9" w:rsidP="00A24BC9">
      <w:pPr>
        <w:jc w:val="both"/>
        <w:rPr>
          <w:bCs/>
        </w:rPr>
      </w:pPr>
    </w:p>
    <w:p w:rsidR="00A24BC9" w:rsidRPr="00A24BC9" w:rsidRDefault="00A24BC9" w:rsidP="00A24BC9">
      <w:pPr>
        <w:jc w:val="both"/>
        <w:rPr>
          <w:bCs/>
        </w:rPr>
      </w:pPr>
      <w:r w:rsidRPr="00A24BC9">
        <w:rPr>
          <w:bCs/>
        </w:rPr>
        <w:t>A KV-ban szerepel, hogy van kapcsolat az NKP III Tematikus akcióprogramok a 2009-2014 közötti időszakra szóló fejezeteivel, amely tartalmazza a települések levegőminőségének javítása, és a zajterhelés csökkentése tematikus akcióprogramokat, ugyanígy a károsodott területek helyreállítása, káros hatások csökkentése akcióprogramot. Ezt a kapcsolatot azonban a KV azzal intézi el, hogy nincs hatás, ezért „az OTrT nem tartalmazza”. Sokkal helyesebb volna azt hangsúlyozni, hogy bár van környezeti hatás, de az OTrT tartalmi elemeire vonatkozó előírások alapján ezek nem részei a tervnek.</w:t>
      </w:r>
    </w:p>
    <w:p w:rsidR="00A24BC9" w:rsidRPr="00A24BC9" w:rsidRDefault="00A24BC9" w:rsidP="00A24BC9">
      <w:pPr>
        <w:jc w:val="both"/>
        <w:rPr>
          <w:bCs/>
        </w:rPr>
      </w:pPr>
    </w:p>
    <w:p w:rsidR="00A24BC9" w:rsidRPr="00A24BC9" w:rsidRDefault="00A24BC9" w:rsidP="00A24BC9">
      <w:pPr>
        <w:jc w:val="both"/>
        <w:rPr>
          <w:bCs/>
        </w:rPr>
      </w:pPr>
      <w:r w:rsidRPr="00A24BC9">
        <w:rPr>
          <w:bCs/>
        </w:rPr>
        <w:t>A döntés-támogató modellel kapcsolatban fölvetődik, hogy mi az értelme a „nincs szabályozás” és a „jelenlegi OTrT” scenáriók összehasonlításának, hiszen ezek az információk nem relevánsak, mivel van szabályozás, csak zavarják az olvasót fölösleges adatokkal és térképekkel. Véleményünk szerint a modellezésnek csak a „jelenlegi OTrT” és a „módosított OTrT” vonatkozásában van relevanciája és információ tartalma. Ez viszont nem olyan részletes, mint a „nincs szabályozás” verzió.</w:t>
      </w:r>
    </w:p>
    <w:p w:rsidR="00A24BC9" w:rsidRPr="00A24BC9" w:rsidRDefault="00A24BC9" w:rsidP="00A24BC9">
      <w:pPr>
        <w:jc w:val="both"/>
        <w:rPr>
          <w:bCs/>
        </w:rPr>
      </w:pPr>
    </w:p>
    <w:p w:rsidR="0087448B" w:rsidRDefault="00A24BC9" w:rsidP="00A24BC9">
      <w:pPr>
        <w:jc w:val="both"/>
        <w:rPr>
          <w:bCs/>
        </w:rPr>
      </w:pPr>
      <w:r w:rsidRPr="00A24BC9">
        <w:rPr>
          <w:bCs/>
        </w:rPr>
        <w:t>Nincs igazság tartalma annak a megállapításnak, hogy a térségi lerakók OTrT-ből kikerülése miatt nincs negatív hatás (92. o).</w:t>
      </w:r>
    </w:p>
    <w:p w:rsidR="00A24BC9" w:rsidRPr="00A24BC9" w:rsidRDefault="00A24BC9" w:rsidP="00A24BC9">
      <w:pPr>
        <w:jc w:val="both"/>
        <w:rPr>
          <w:bCs/>
        </w:rPr>
      </w:pPr>
      <w:r w:rsidRPr="00A24BC9">
        <w:rPr>
          <w:bCs/>
        </w:rPr>
        <w:t>A javasolt indikátorok közül nem mindegyik releváns (pl. tisztítatlan szennyvizek mennyisége, a háztartások csatornázottsága és tisztított szennyvizeinek aránya), és nincs a normaszövegben ezekről szó.</w:t>
      </w:r>
    </w:p>
    <w:p w:rsidR="008C7F05" w:rsidRDefault="008C7F05" w:rsidP="00D75E9A">
      <w:pPr>
        <w:jc w:val="both"/>
        <w:rPr>
          <w:rStyle w:val="Kiemels2"/>
          <w:b w:val="0"/>
        </w:rPr>
      </w:pPr>
    </w:p>
    <w:p w:rsidR="00A24BC9" w:rsidRDefault="0087448B" w:rsidP="00D75E9A">
      <w:pPr>
        <w:jc w:val="both"/>
        <w:rPr>
          <w:rStyle w:val="Kiemels2"/>
          <w:b w:val="0"/>
        </w:rPr>
      </w:pPr>
      <w:r>
        <w:rPr>
          <w:rStyle w:val="Kiemels2"/>
        </w:rPr>
        <w:t xml:space="preserve">A </w:t>
      </w:r>
      <w:r w:rsidR="00A24BC9" w:rsidRPr="00E128C0">
        <w:rPr>
          <w:rStyle w:val="Kiemels2"/>
        </w:rPr>
        <w:t>Közlekedéspolitikai Bizottság</w:t>
      </w:r>
      <w:r w:rsidR="00A24BC9">
        <w:rPr>
          <w:rStyle w:val="Kiemels2"/>
          <w:b w:val="0"/>
        </w:rPr>
        <w:t xml:space="preserve"> általános</w:t>
      </w:r>
      <w:r w:rsidR="00A24BC9">
        <w:t>ságban egyetért az anyag helyzetértékelésével közlekedési szempontból. A korábbi anyagokkal szemben ez a mostani OTrT felülvizsgálat igyekszik a megfelelő súllyal foglalkozni az egyes közlekedési módokkal, már nem található meg benne a</w:t>
      </w:r>
      <w:r>
        <w:t>z</w:t>
      </w:r>
      <w:r w:rsidR="00A24BC9">
        <w:t xml:space="preserve"> oly sok ideig jellemző egyoldalúság (lásd közúti közlekedés). Ugyanakkor megjegyezzük, hogy a közlekedés szerepe igen jelentős a területfejlesztésben, és azt látjuk, hogy az anyag nem szentel ennek megfelelő súlyt. Hasznosnak tartanánk, ha bővebben vizsgálná a koncepcionális szempontokat. Különösen élesen merül ez utóbbi fel az egyes tervezett projektek esetében. A társadalmi megítélése nem egységes több tervezett beruházásnak, ugyanakkor ezen szempontok az anyag jelenlegi szerkezetéből nem ismerhetők meg, a problematikus területek vizsgálata nem célja, az anyag túlságosan leíró jellegű. A "Megalapozó munkarészek" című dokumentum - már csak a nevéből kiindulva is - véleményünk szerint hangsúlyosabban kellene érintse a közlekedési szempontok, lehetőségek, alternatívák, problémák elemzését.</w:t>
      </w:r>
      <w:r w:rsidR="00A24BC9">
        <w:br/>
      </w:r>
    </w:p>
    <w:p w:rsidR="00A24BC9" w:rsidRDefault="00A24BC9" w:rsidP="00D75E9A">
      <w:pPr>
        <w:jc w:val="both"/>
        <w:rPr>
          <w:rStyle w:val="Kiemels2"/>
          <w:b w:val="0"/>
        </w:rPr>
      </w:pPr>
      <w:r>
        <w:rPr>
          <w:rStyle w:val="Kiemels2"/>
          <w:b w:val="0"/>
        </w:rPr>
        <w:t xml:space="preserve">Vasúti szempontból tett </w:t>
      </w:r>
      <w:r w:rsidR="0087448B">
        <w:rPr>
          <w:rStyle w:val="Kiemels2"/>
          <w:b w:val="0"/>
        </w:rPr>
        <w:t>részletes észrevételek</w:t>
      </w:r>
      <w:r>
        <w:rPr>
          <w:rStyle w:val="Kiemels2"/>
          <w:b w:val="0"/>
        </w:rPr>
        <w:t xml:space="preserve"> a következők:</w:t>
      </w:r>
    </w:p>
    <w:p w:rsidR="00A24BC9" w:rsidRDefault="00A24BC9" w:rsidP="00A24BC9">
      <w:pPr>
        <w:pStyle w:val="Csakszveg"/>
        <w:spacing w:before="0" w:beforeAutospacing="0" w:after="0" w:afterAutospacing="0"/>
        <w:jc w:val="both"/>
        <w:rPr>
          <w:color w:val="000000"/>
        </w:rPr>
      </w:pPr>
      <w:r>
        <w:rPr>
          <w:color w:val="000000"/>
        </w:rPr>
        <w:t>1./ A törvényben a TEN vasúti hálózat elemeinek felsorolása 1. kötet nem koherens a 2. kötetben szereplő térképpel. A Rajka-Porpác a TEN része. Az 1</w:t>
      </w:r>
      <w:r w:rsidR="0087448B">
        <w:rPr>
          <w:color w:val="000000"/>
        </w:rPr>
        <w:t>.</w:t>
      </w:r>
      <w:r>
        <w:rPr>
          <w:color w:val="000000"/>
        </w:rPr>
        <w:t xml:space="preserve"> kötetben javítandó. </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2./ Az egyéb országos vasút felsorolásból a Szombathely-Kőszeg  kimaradt, szükség esetén pótlandó. A Kőszeg – Szombathely vasútvonal a 168/2010 kormányrendelet értelmében is a Regionális vasúti pályák körébe tartozik. Ugyanakkor a Körmend – Zalalövő vasútvonal kihúzását nem tarjuk indokoltnak. Nem szerepel más felsorolásba vonva és bár jelenleg vasúti közlekedés szünetel, de attól még vasúti vonalnak minősül.</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3./ A vasúti területet a törvény építmények által igénybe vett kategóriaként térségi, illetve megyei rendezési tervbe utalja.  Javasoljuk, hogy az infrastruktúra  ezen elemét, annak országos jelentőségére, kötöttségére tekintettel külön felhasználási kategóriaként nevesítse.</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4./ Vélhetően az OTrT összeállításánál a 3. ponttal összefüggésben maradhattak ki a MÁV, és a GYSEV fejlesztési céljai, melyek az OTrT-ben is célszerű lenne szerepeltetni:  Győr-Sopron kétvágányúsítás, vasút villamosítás stb.  Csak összehasonlításként megemlítjük, hogy a távvezetékek, olajszállító csővezetékekre vonatkozóan a törvény tervezet részletesen kitér, még akkor is, ha megjegyzi, hogy ezt a MAVIR készítette, jól lehet ezen nyomvonalak nem állami tul</w:t>
      </w:r>
      <w:r w:rsidR="0087448B">
        <w:rPr>
          <w:color w:val="000000"/>
        </w:rPr>
        <w:t>ajdonú földeket vesznek igénybe.</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 xml:space="preserve">5./ Az OTrT  kiemelten foglalkozik a Natura </w:t>
      </w:r>
      <w:r w:rsidR="0087448B">
        <w:rPr>
          <w:color w:val="000000"/>
        </w:rPr>
        <w:t xml:space="preserve">2000 </w:t>
      </w:r>
      <w:r>
        <w:rPr>
          <w:color w:val="000000"/>
        </w:rPr>
        <w:t>területekkel. Célszerűnek tartjuk az ezeket átszelő meglévő vasúti területek státuszát rögzíteni, és a Natur</w:t>
      </w:r>
      <w:r w:rsidR="0087448B">
        <w:rPr>
          <w:color w:val="000000"/>
        </w:rPr>
        <w:t>a 2000-bő</w:t>
      </w:r>
      <w:r>
        <w:rPr>
          <w:color w:val="000000"/>
        </w:rPr>
        <w:t xml:space="preserve">l kiemelni. Ez sok </w:t>
      </w:r>
      <w:r>
        <w:rPr>
          <w:color w:val="000000"/>
        </w:rPr>
        <w:lastRenderedPageBreak/>
        <w:t>fejlesztésnek lenne segítségére tekintettel a Natura 2000-es területek uniós megítélésének jelenlegi nem megfelelő gyakorlatára.</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6./ A jelen törvényben szereplő, vasúti közlekedés részesedésére 2020 évre vonatkozó naturáliáit törölni kell, a közlekedésfejlesztési stratégiával nem harmonizál.</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7/ Az OTrT  nem elég hangsúlyosan foglalkozik a közlekedéssel, jóllehet a rendezési tervben megfogalmazott céloknak területi fejlesztéseknek, a vidéki lakosság megtartásának, stb. fontos eszköze a közösségi közlekedés javítása, az infrastruktúra fejlesztése.</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 xml:space="preserve">8./A  törvény több helyen foglalkozik a kelet nyugati korridorral, de az </w:t>
      </w:r>
      <w:r w:rsidRPr="004F40A1">
        <w:rPr>
          <w:color w:val="000000"/>
          <w:highlight w:val="yellow"/>
        </w:rPr>
        <w:t>É_D</w:t>
      </w:r>
      <w:r>
        <w:rPr>
          <w:color w:val="000000"/>
        </w:rPr>
        <w:t xml:space="preserve"> GYSEV Zrt-t érintő, Győr-Sopron, ill. Vas megyére vonatkozó, Bé</w:t>
      </w:r>
      <w:r w:rsidR="004F40A1">
        <w:rPr>
          <w:color w:val="000000"/>
        </w:rPr>
        <w:t>cs-Pozsony-Adria tengellyel nem.</w:t>
      </w:r>
      <w:r>
        <w:rPr>
          <w:color w:val="000000"/>
        </w:rPr>
        <w:t xml:space="preserve"> Ezzel javasoljuk a dokumentumot kiegészíteni.</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9./ II. kötet 56. oldal Zajvédelem. A vasúti zajvédelem során nem kerül említésre a 15., 21. vonal felújítása, holott sok aktív és passzív zajvédelmi megoldás került beépítésre a teljes vonalhálózaton. Ugyancsak ezeken a vonalakon egyedi vadvédelmi megoldásként fényvető prizmák kerültek elhelyezésre, ami az erdő és vadgazdálkodásnál kiemelt jelentőségű lehet.</w:t>
      </w:r>
    </w:p>
    <w:p w:rsidR="00A24BC9" w:rsidRDefault="00A24BC9" w:rsidP="00A24BC9">
      <w:pPr>
        <w:pStyle w:val="Csakszveg"/>
        <w:spacing w:before="0" w:beforeAutospacing="0" w:after="0" w:afterAutospacing="0"/>
        <w:jc w:val="both"/>
        <w:rPr>
          <w:color w:val="000000"/>
        </w:rPr>
      </w:pPr>
    </w:p>
    <w:p w:rsidR="00A24BC9" w:rsidRDefault="00A24BC9" w:rsidP="00A24BC9">
      <w:pPr>
        <w:pStyle w:val="Csakszveg"/>
        <w:spacing w:before="0" w:beforeAutospacing="0" w:after="0" w:afterAutospacing="0"/>
        <w:jc w:val="both"/>
        <w:rPr>
          <w:color w:val="000000"/>
        </w:rPr>
      </w:pPr>
      <w:r>
        <w:rPr>
          <w:color w:val="000000"/>
        </w:rPr>
        <w:t>10./ II. kötet 234. oldal 2008 – 2011 évi fejlesztések TEN-T és Országos törzshálózati vonalon. A GYSEV Zrt. fejlesztéseit szintén nem tartalmazza, holott a 15-ös, 21-es vonal felújítása jelentő fejlesztésnek minősül, pont az érintett időintervallumban. Ezt pótolni szükséges mind a sz</w:t>
      </w:r>
      <w:r w:rsidR="004F40A1">
        <w:rPr>
          <w:color w:val="000000"/>
        </w:rPr>
        <w:t>öveges, mind a térképi részeken.</w:t>
      </w:r>
    </w:p>
    <w:p w:rsidR="00A24BC9" w:rsidRDefault="00A24BC9" w:rsidP="00A24BC9">
      <w:pPr>
        <w:spacing w:after="200"/>
        <w:jc w:val="both"/>
        <w:rPr>
          <w:color w:val="000000"/>
          <w:szCs w:val="24"/>
        </w:rPr>
      </w:pPr>
    </w:p>
    <w:p w:rsidR="00A24BC9" w:rsidRPr="00E128C0" w:rsidRDefault="00A24BC9" w:rsidP="00A24BC9">
      <w:pPr>
        <w:spacing w:after="200"/>
        <w:jc w:val="both"/>
        <w:rPr>
          <w:b/>
          <w:color w:val="000000"/>
          <w:szCs w:val="24"/>
        </w:rPr>
      </w:pPr>
      <w:r w:rsidRPr="00E128C0">
        <w:rPr>
          <w:b/>
          <w:color w:val="000000"/>
          <w:szCs w:val="24"/>
        </w:rPr>
        <w:t>Agrár és Természetvédelmi Bizottság:</w:t>
      </w:r>
    </w:p>
    <w:p w:rsidR="00A24BC9" w:rsidRPr="00A24BC9" w:rsidRDefault="00A24BC9" w:rsidP="00A24BC9">
      <w:pPr>
        <w:spacing w:after="200"/>
        <w:jc w:val="both"/>
        <w:rPr>
          <w:color w:val="000000"/>
          <w:szCs w:val="24"/>
        </w:rPr>
      </w:pPr>
      <w:r w:rsidRPr="00A24BC9">
        <w:rPr>
          <w:color w:val="000000"/>
          <w:szCs w:val="24"/>
        </w:rPr>
        <w:t>Az Országos Területrendezési Terv az ország területhasználatát hosszú távon meghatározó természetvédelmi szempontból kiemelt jelentőségű dokumentum, ezért különös figyelmet igényel. A tervezők munkájuk során nagyon sok kérdést vizsgáltak megfelelő térinformatikai módszerek igénybevételével és így jól értékelhető és véleményezhető dokumentumokkal rendelkezünk. A konkrét véleményt megelőzően meg kell állapítanunk, hogy nem tartjuk megfelelő eljárásnak azt, hogy a tervezetet és az annak környezeti hatásait vizsgáló Stratégiai Környezeti Vizsgálatot valamint Natura 2000 hatásbecslést ugyanazok végezték. Úgy gondoljuk, hogy ilyen módon objektív vélemény nem alakítható ki, ezen feladatok elvégzését egymástól független szakértőkre kell bízni.</w:t>
      </w:r>
    </w:p>
    <w:p w:rsidR="00A24BC9" w:rsidRPr="00A24BC9" w:rsidRDefault="00A24BC9" w:rsidP="00A24BC9">
      <w:pPr>
        <w:spacing w:after="200"/>
        <w:jc w:val="both"/>
        <w:rPr>
          <w:color w:val="000000"/>
          <w:szCs w:val="24"/>
        </w:rPr>
      </w:pPr>
      <w:r w:rsidRPr="00A24BC9">
        <w:rPr>
          <w:color w:val="000000"/>
          <w:szCs w:val="24"/>
        </w:rPr>
        <w:t xml:space="preserve">A Stratégiai Környezeti Vizsgálat és a Natura 2000 hatásbecslés részletesen feltérképezi a módosítás során fellépő Natura 2000 területekkel kapcsolatos természetvédelmi konfliktusokat. A kimutatott 932 konfliktushelyet besorolja szintjük szerint A, B1,B2,B3 és C kategóriákba aszerint, hogy nincs konfliktus, feloldható konfliktus állapítható meg, amire különböző típusú megoldások ajánlhatók, vagy a konfliktus feloldhatatlan. A konfliktusok 28%-át feloldhatatlannak minősíti a tanulmány. Megállapítható, hogy egyes konfliktusok nem kerültek besorolásra, ezek értékelésének is meg kellene történnie. A kategorizálás során úgy gondoljuk, hogy feloldhatatlan konfliktusok is </w:t>
      </w:r>
      <w:r w:rsidRPr="00A24BC9">
        <w:rPr>
          <w:color w:val="000000"/>
          <w:szCs w:val="24"/>
        </w:rPr>
        <w:lastRenderedPageBreak/>
        <w:t>kerültek B kategóriába, míg kezelést igénylő konfliktusok az A kategóriába. Több esetben a táblázatokban található szöveges leírás nem találkozik az az alapján meghatározott kategóriával. Ezek alapján javasoljuk az értékelés felülvizsgálatát és kiegészítését.</w:t>
      </w:r>
    </w:p>
    <w:p w:rsidR="00A24BC9" w:rsidRPr="00A24BC9" w:rsidRDefault="00A24BC9" w:rsidP="00A24BC9">
      <w:pPr>
        <w:spacing w:after="200"/>
        <w:jc w:val="both"/>
        <w:rPr>
          <w:color w:val="000000"/>
          <w:szCs w:val="24"/>
        </w:rPr>
      </w:pPr>
      <w:r w:rsidRPr="00A24BC9">
        <w:rPr>
          <w:color w:val="000000"/>
          <w:szCs w:val="24"/>
        </w:rPr>
        <w:t>A következő fontos kérdés, hogy az SKV megállapításai, hogyan épülnek vissza a tervbe. A C típusúként kategorizált konfliktushelyzeteket az adott tervi elem törlésével vagy teljes áttervezésével szükséges kezelni, míg a B kategória esetében a jelentős területi vagy nyomvonal áttervezést igénylő megállapításokat szintén a tervben kell érvényesíteni. Úgy gondoljuk, hogy az országos jelentőségű konfliktusokat már az OTrT szintjén ki kell küszöbölni, nem hagyható ez a későbbi engedélyeztetési szakaszokra, mert ez elhúzódó, ellehetetlenülő eljárásokhoz vezethet, ami egyik szereplőnek sem lehet érdeke. A módosítás elfogadását csak ezen változtatások megtétele után tartjuk elfogadhatónak.</w:t>
      </w:r>
    </w:p>
    <w:p w:rsidR="00A24BC9" w:rsidRPr="00A24BC9" w:rsidRDefault="00A24BC9" w:rsidP="00A24BC9">
      <w:pPr>
        <w:spacing w:after="200"/>
        <w:jc w:val="both"/>
        <w:rPr>
          <w:color w:val="000000"/>
          <w:szCs w:val="24"/>
        </w:rPr>
      </w:pPr>
      <w:r w:rsidRPr="00A24BC9">
        <w:rPr>
          <w:color w:val="000000"/>
          <w:szCs w:val="24"/>
        </w:rPr>
        <w:t>Ki kell emelni néhány konfliktust, amelyek komolyabb változtatást igényelnek ilyenek pl. a  tervezett gyorsvasút Vértest kettészelő szakasza és további szakaszai a Hanságban, a Nabucco gázvezeték Kiskunsági szikes pusztákat érintő szakasza, a Turjánvidéket érintő vasúti fejlesztés és M8-as gyorsforgalmi út, a Zala megyei főútfejlesztések.</w:t>
      </w:r>
    </w:p>
    <w:p w:rsidR="00A24BC9" w:rsidRPr="00A24BC9" w:rsidRDefault="00A24BC9" w:rsidP="00A24BC9">
      <w:pPr>
        <w:spacing w:after="200"/>
        <w:jc w:val="both"/>
        <w:rPr>
          <w:color w:val="000000"/>
          <w:szCs w:val="24"/>
        </w:rPr>
      </w:pPr>
      <w:r w:rsidRPr="00A24BC9">
        <w:rPr>
          <w:color w:val="000000"/>
          <w:szCs w:val="24"/>
        </w:rPr>
        <w:t>Az SKV modellezi a módosítás hatásait a területhasználat változására, ami több kérdést is felvet. A modellezés sajnos nem következetes, van ahol a „módosított OTrT” változatot a „nincs szabályozás” változathoz van ahol a „hatályos OTrT” változathoz hasonlítja. Nem egyértelmű, hogy a „nincs szabályozás” változat pontosan mit jelent. A területhasználati típusok is többféle módon jelennek meg és olyan kategóriák is szerepelnek ami nem értelmezhető pl. természetes vegetáció, aminek előrevetített jelentős csökkenése aggasztó is lehet, de nem derül ki, hogy ez mit jelöl, ha külön van erdő, természetes gyep és vizes élőhely. Az erdő területek esetében a modell igen jelentős növekedést mutat, ami alapvetően pozitív is lehet, de mindenképpen részletesebben kellene vizsgálni, hogy az erdősítésre kijelölt területek valójában a természetvédelmi célkitűzésekkel illetve a Natura 2000 területek céljaival milyen viszonyban vannak. A vizes élőhelyek további csökkenésére nem gondoljuk, hogy kielégítő az a megállapítás, hogy a klimatikus változások miatt ez elkerülhetetlen, szükséges lenne erre is intézkedési javaslatokat megfogalmazni.</w:t>
      </w:r>
    </w:p>
    <w:p w:rsidR="00A24BC9" w:rsidRDefault="00A24BC9" w:rsidP="00A24BC9">
      <w:pPr>
        <w:spacing w:after="200"/>
        <w:jc w:val="both"/>
        <w:rPr>
          <w:color w:val="000000"/>
          <w:szCs w:val="24"/>
        </w:rPr>
      </w:pPr>
      <w:r w:rsidRPr="00A24BC9">
        <w:rPr>
          <w:color w:val="000000"/>
          <w:szCs w:val="24"/>
        </w:rPr>
        <w:t xml:space="preserve">A modellezés különösen aggasztó eredményeket mutat a beépített területek alakulásával, amire 11%-os növekedést jósol 2030-ig, ennek jelentős részét a budapesti agglomerációban. A módosítás eredményeként könyveli el egyes területek  beépíthetőség alóli kivonását értékes termőhelyi adottságú talajokon, nagyvízi meder területén illetve, hogy jobban megfeleljen a valós igényeknek. A valóságban azonban a csökkenő lakosság és Budapest csökkenő népessége mellett az OTrT feladata és lehetősége lenne, hogy a városi térség növekedését megakadályozza/szabályozza, így az SKV-nak is erre kellene rámutatnia. A települési térségek módosításával az SKV és Natrua 2000 hatásbecslés nem tud mit kezdeni, nincs pontosan definiálva, hogy milyen változtatásokat fog ez jelenteni így ennek környezeti hatásait sem tudják értelmezni. Ezzel a kérdéssel behatóbban kellene foglalkozni mindegyik anyagnak. Ez alapján az SKV összefoglalójában szereplő megállapítás miszerint „Mivel az OTrT maga is környezetvédelmi, tájvédelmi érdekeket szolgál, ezért a környezeti vizsgálat során nem kellett és nem is volt szükséges jelentős koncepcionális változásokat javasolni.” nem lehet igaz, így javasoljuk, hogy fektessen nagyobb hangsúlyt az anyag a modellezés </w:t>
      </w:r>
      <w:r w:rsidRPr="00A24BC9">
        <w:rPr>
          <w:color w:val="000000"/>
          <w:szCs w:val="24"/>
        </w:rPr>
        <w:lastRenderedPageBreak/>
        <w:t>pontosítására és az ebből látszó negatív hatások kezelésére dolgozzon ki koncepcionális változtatásokat.</w:t>
      </w:r>
    </w:p>
    <w:p w:rsidR="004F40A1" w:rsidRDefault="004F40A1" w:rsidP="00A24BC9">
      <w:pPr>
        <w:spacing w:after="200"/>
        <w:jc w:val="both"/>
        <w:rPr>
          <w:b/>
          <w:color w:val="000000"/>
          <w:szCs w:val="24"/>
        </w:rPr>
      </w:pPr>
    </w:p>
    <w:p w:rsidR="00E128C0" w:rsidRPr="00E128C0" w:rsidRDefault="00E128C0" w:rsidP="00A24BC9">
      <w:pPr>
        <w:spacing w:after="200"/>
        <w:jc w:val="both"/>
        <w:rPr>
          <w:b/>
          <w:color w:val="000000"/>
          <w:szCs w:val="24"/>
        </w:rPr>
      </w:pPr>
      <w:r w:rsidRPr="00E128C0">
        <w:rPr>
          <w:b/>
          <w:color w:val="000000"/>
          <w:szCs w:val="24"/>
        </w:rPr>
        <w:t>Bencs Attila:</w:t>
      </w:r>
    </w:p>
    <w:p w:rsidR="00E128C0" w:rsidRPr="004F40A1" w:rsidRDefault="00E128C0" w:rsidP="004F40A1">
      <w:pPr>
        <w:pStyle w:val="Listaszerbekezds"/>
        <w:numPr>
          <w:ilvl w:val="0"/>
          <w:numId w:val="9"/>
        </w:numPr>
        <w:spacing w:after="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A konfliktushelyzetek elemzésénél rendkívül jelentős a „nem értékelhető” tervi elemek aránya, több mint 20 %. Javaslom e tervi elemek felülvizsgálatát.</w:t>
      </w:r>
      <w:bookmarkStart w:id="0" w:name="_GoBack"/>
      <w:bookmarkEnd w:id="0"/>
    </w:p>
    <w:p w:rsidR="00E128C0" w:rsidRPr="004F40A1" w:rsidRDefault="00E128C0" w:rsidP="004F40A1">
      <w:pPr>
        <w:pStyle w:val="Listaszerbekezds"/>
        <w:spacing w:after="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 Pl. a 92. sorszámú „Tervezett Százhalombatta-Rajka-országhatár földgázvezeték –Vértes SCI” esetén, amely a Natura2000 Hatásbecslés 1. melléklete szerint a Vértes kiemelt jelentőségű természetmegőrzési területet a DNy-i részén érinti mintegy 1200 m-es hosszban. Ez esetben nem lett értékelve a tervi elem megvalósíthatósága, pedig ugyanezen területet érintő másik tervet (Hegyeshalom-Budapest gyorsvasút vonal) B.3 osztályba sorolták. ]</w:t>
      </w:r>
    </w:p>
    <w:p w:rsidR="00E128C0" w:rsidRPr="004F40A1" w:rsidRDefault="00E128C0" w:rsidP="004F40A1">
      <w:pPr>
        <w:pStyle w:val="Listaszerbekezds"/>
        <w:numPr>
          <w:ilvl w:val="0"/>
          <w:numId w:val="9"/>
        </w:numPr>
        <w:spacing w:after="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A területhasználat változásának hosszú távú modellezésére a Környezeti vizsgálatban a szabályozás nélküli állapotot hasonlítja össze a jelenlegi szabályozás szerinti állapottal (SKV 70.o). Ennek a módosítás szempontjából nincs értelme. Csatlakozva Farkas Hilda véleményéhez a jelenlegi szabályozás és a tervezett szabályozás várható hatásait lenne célszerű összehasonlítani.</w:t>
      </w:r>
    </w:p>
    <w:p w:rsidR="00E128C0" w:rsidRPr="004F40A1" w:rsidRDefault="00E128C0" w:rsidP="004F40A1">
      <w:pPr>
        <w:pStyle w:val="Listaszerbekezds"/>
        <w:numPr>
          <w:ilvl w:val="0"/>
          <w:numId w:val="9"/>
        </w:numPr>
        <w:spacing w:after="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A beavatkozások környezeti értékelésekor fontos szempont kellene, hogy legyen az egyes tervi elemek Víz Keretirányelv (VKI) szerinti megfelelősége. A tervezés során nem elhanyagolható a vizek kémiai állapot, ökológiai potenciál, vízhozam, vízszint szerinti jellemzése és ezek paramétereiben bekövetkező változások modellezése. E módszer segítségével az élő/élettelen környezet nagyobb szeletére terjedne ki a hatásfelmérés.</w:t>
      </w:r>
    </w:p>
    <w:p w:rsidR="00E128C0" w:rsidRPr="004F40A1" w:rsidRDefault="00E128C0" w:rsidP="004F40A1">
      <w:pPr>
        <w:pStyle w:val="Listaszerbekezds"/>
        <w:spacing w:after="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Tehát Ijjas Istvánhoz csatlakozva javasolom a VKI-ban előírt tesztek alkalmazását a tervek hatásainak teljes körű felméréséhez.</w:t>
      </w:r>
    </w:p>
    <w:p w:rsidR="00E128C0" w:rsidRPr="004F40A1" w:rsidRDefault="00E128C0" w:rsidP="004F40A1">
      <w:pPr>
        <w:pStyle w:val="Listaszerbekezds"/>
        <w:numPr>
          <w:ilvl w:val="0"/>
          <w:numId w:val="9"/>
        </w:numPr>
        <w:spacing w:after="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A jelenleg hatályos OTrT-ben szereplő egyes témakörök kihagyását – csatlakozva Farkas Hilda véleményéhez  aggályosnak tartom, főleg azért, mert egyszerű információhiányra hivatkozva maradtak ki. Akkor a jelenlegi tervben mi alapján szerepelnek a tájrehabilitációt igénylő területekről, a térségi hulladéklerakókról, veszélyes hulladék ártalmatlanításáról, valamint a szél-és vízeróziónak kitett területekről szóló szabályozások?</w:t>
      </w:r>
    </w:p>
    <w:p w:rsidR="004F40A1" w:rsidRDefault="004F40A1" w:rsidP="00A24BC9">
      <w:pPr>
        <w:spacing w:after="200"/>
        <w:jc w:val="both"/>
        <w:rPr>
          <w:b/>
          <w:color w:val="000000"/>
          <w:szCs w:val="24"/>
        </w:rPr>
      </w:pPr>
    </w:p>
    <w:p w:rsidR="00A24BC9" w:rsidRPr="00E128C0" w:rsidRDefault="00E128C0" w:rsidP="00A24BC9">
      <w:pPr>
        <w:spacing w:after="200"/>
        <w:jc w:val="both"/>
        <w:rPr>
          <w:b/>
          <w:color w:val="000000"/>
          <w:szCs w:val="24"/>
        </w:rPr>
      </w:pPr>
      <w:r w:rsidRPr="00E128C0">
        <w:rPr>
          <w:b/>
          <w:color w:val="000000"/>
          <w:szCs w:val="24"/>
        </w:rPr>
        <w:t>Energiapolitikai Bizottság:</w:t>
      </w:r>
    </w:p>
    <w:p w:rsidR="00E128C0" w:rsidRPr="00E128C0" w:rsidRDefault="00E128C0" w:rsidP="00E128C0">
      <w:pPr>
        <w:spacing w:after="200"/>
        <w:jc w:val="both"/>
        <w:rPr>
          <w:color w:val="000000"/>
          <w:szCs w:val="24"/>
        </w:rPr>
      </w:pPr>
      <w:r w:rsidRPr="00E128C0">
        <w:rPr>
          <w:color w:val="000000"/>
          <w:szCs w:val="24"/>
        </w:rPr>
        <w:t>Megállapítható, hogy az áttekintett dokumentumok készítői nagy figyelmet fordítottak arra, hogy a korábban elkészült, ill. jelenleg készülő hazai és uniós stratégiák, tervek és programok területrendezési szempontból releváns részeit az anyag kellőképpen tükrözze. A vizsgált szempontok tekintetében a legfontosabb két dokumentum az ún. Transzeurópai energetikai hálózat (TEN-E) javaslata és a Nemzeti Energiastratégia. Természetesen számos más olyan stratégia és terv készült, ill. készül, amelyeknek energetikai vonatkozásai vannak (ÚSzT, Vidékstratégia, nemzetközi gázvezetékek stb.).</w:t>
      </w:r>
    </w:p>
    <w:p w:rsidR="00E128C0" w:rsidRPr="00E128C0" w:rsidRDefault="00E128C0" w:rsidP="00E128C0">
      <w:pPr>
        <w:spacing w:after="200"/>
        <w:jc w:val="both"/>
        <w:rPr>
          <w:color w:val="000000"/>
          <w:szCs w:val="24"/>
        </w:rPr>
      </w:pPr>
      <w:r w:rsidRPr="00E128C0">
        <w:rPr>
          <w:color w:val="000000"/>
          <w:szCs w:val="24"/>
        </w:rPr>
        <w:lastRenderedPageBreak/>
        <w:t>A releváns objektumok létesítése és üzemeltetése hatósági – egyebek mellett környezetvédelmi – engedélyköteles tevékenység. Ily módon a területrendezési terveknek való megfelelés ellenőrzése már a megvalósulásukat megelőző fázisban megtörténik (terület-felhasználási engedély).</w:t>
      </w:r>
    </w:p>
    <w:p w:rsidR="00E128C0" w:rsidRPr="00E128C0" w:rsidRDefault="00E128C0" w:rsidP="00E128C0">
      <w:pPr>
        <w:spacing w:after="200"/>
        <w:jc w:val="both"/>
        <w:rPr>
          <w:color w:val="000000"/>
          <w:szCs w:val="24"/>
        </w:rPr>
      </w:pPr>
      <w:r w:rsidRPr="00E128C0">
        <w:rPr>
          <w:color w:val="000000"/>
          <w:szCs w:val="24"/>
        </w:rPr>
        <w:t xml:space="preserve">Magyarországon a mélybányászat gyakorlatilag megszűnt, de nemrégen szóba került bizonyos szénbányák újranyitásának kérdése. A dokumentum II. kötete helyesen állapítja meg, hogy a bányanyitások feltétele a gazdaságosság (versenyképesség) megfelelő szintje, ami nemcsak a hazai körülmények függvénye. Intenzívebb kutatás folyik az utóbbi években az uránérc-lelőhelyek környékén is (Dél-Dunántúl).A dokumentumból nem derül ki, hogy a jelenleg működő külszíni fejtésű, Kelet-magyarországi bányák (Visonta, Bükkábrány) esetleges bővítése milyen területrendezési problémákat vet fel (pl. települések mozgatása, vasútvonalak áthelyezése). </w:t>
      </w:r>
    </w:p>
    <w:p w:rsidR="00E128C0" w:rsidRPr="00E128C0" w:rsidRDefault="00E128C0" w:rsidP="00E128C0">
      <w:pPr>
        <w:spacing w:after="200"/>
        <w:jc w:val="both"/>
        <w:rPr>
          <w:color w:val="000000"/>
          <w:szCs w:val="24"/>
        </w:rPr>
      </w:pPr>
      <w:r w:rsidRPr="00E128C0">
        <w:rPr>
          <w:color w:val="000000"/>
          <w:szCs w:val="24"/>
        </w:rPr>
        <w:t>Helyénvaló az a megállapítás is, hogy az energetikai forrásból származó légszennyezőanyag-kibocsátás az elmúlt évtizedben jelentősen csökkent és kis mértékben ugyan, de csökkent a CO</w:t>
      </w:r>
      <w:r w:rsidRPr="00E128C0">
        <w:rPr>
          <w:color w:val="000000"/>
          <w:szCs w:val="24"/>
          <w:vertAlign w:val="subscript"/>
        </w:rPr>
        <w:t>2</w:t>
      </w:r>
      <w:r w:rsidRPr="00E128C0">
        <w:rPr>
          <w:color w:val="000000"/>
          <w:szCs w:val="24"/>
        </w:rPr>
        <w:t>-kibocsátás is. Nem elhanyagolható mértékű növekedés történt a hulladékok energetikai hasznosítása területén is, bár ez kizárólag a fővárost és környékét érinti. Távlatosan más területek is szóba kerülhetnek.</w:t>
      </w:r>
    </w:p>
    <w:p w:rsidR="00E128C0" w:rsidRPr="00E128C0" w:rsidRDefault="00E128C0" w:rsidP="00E128C0">
      <w:pPr>
        <w:spacing w:after="200"/>
        <w:jc w:val="both"/>
        <w:rPr>
          <w:color w:val="000000"/>
          <w:szCs w:val="24"/>
        </w:rPr>
      </w:pPr>
      <w:r w:rsidRPr="00E128C0">
        <w:rPr>
          <w:color w:val="000000"/>
          <w:szCs w:val="24"/>
        </w:rPr>
        <w:t>Sajnálatos, de igaz, hogy mind az elméleti, mind a gyakorlati, kihasználható megújuló energia-potenciálok becslései meglehetősen nagy szóródást mutatnak. A dokumentum – helyesen – az MTA elméleti becslését mutatja be, amelyben csak a vízenergia-potenciál vitatható. A gyakorlati alkalmazás tekintetében elsősorban a nap- és a szélerőművek területhasználata lehet jelentős. Aligha valószínű, hogy a hazai, alacsony hőmérsékletű geotermikus források alkalmasak lennének erőművi villamosenergia-termelésre – még a megalapozó kötetben említett Csongrád megyére régóta megálmodott erőmű sem. Jelentős területfoglalással járna a jövőben a hazai szélerőműpark bővítése.</w:t>
      </w:r>
    </w:p>
    <w:p w:rsidR="00E128C0" w:rsidRPr="00E128C0" w:rsidRDefault="00E128C0" w:rsidP="00E128C0">
      <w:pPr>
        <w:spacing w:after="200"/>
        <w:jc w:val="both"/>
        <w:rPr>
          <w:color w:val="000000"/>
          <w:szCs w:val="24"/>
        </w:rPr>
      </w:pPr>
      <w:r w:rsidRPr="00E128C0">
        <w:rPr>
          <w:color w:val="000000"/>
          <w:szCs w:val="24"/>
        </w:rPr>
        <w:t xml:space="preserve">A megalapozó kötet 13.2 fejezetében található megfogalmazást javítani javasoljuk, ui. a szakmai terminológia szerint az atomerőműveket nem tekintik hőerőműveknek. Ugyanitt vitatkoznánk a vezetékes energiahálózatokkal kapcsolatos azon megállapítással is mely szerint </w:t>
      </w:r>
      <w:r w:rsidRPr="00E128C0">
        <w:rPr>
          <w:i/>
          <w:color w:val="000000"/>
          <w:szCs w:val="24"/>
        </w:rPr>
        <w:t xml:space="preserve">„…hálózatoknak a táppontjai elsődlegesen a határmentén kiépített nemzetközi átadási-vételezési helyek.” </w:t>
      </w:r>
      <w:r w:rsidRPr="00E128C0">
        <w:rPr>
          <w:color w:val="000000"/>
          <w:szCs w:val="24"/>
        </w:rPr>
        <w:t>Való igaz, hogy az energiaellátás biztonsága miatt a határkeresztező kapacitások nagysága és elhelyezkedése kiemelkedő fontosságú elsősorban azért, mert korábban a vezetékrendszerek elsősorban a határokon belül épültek ki. Jelenleg azonban éppen az ellátásbiztonság javítása végett és a regionális szemlélet dominanciája okán egyre inkább a nemzetközi összeköttetések kiépítése és bővítése válik fontossá. Ugyanakkor a határmenti átadási-vételezési helyek jelentősége elméleti; a gyakorlati táppontok, ill. csomópontok az erőművek és a transzformátor-állomások (alállomások). Ezek esetében védőövezet kialakítása is szükséges.</w:t>
      </w:r>
    </w:p>
    <w:p w:rsidR="00E128C0" w:rsidRPr="00E128C0" w:rsidRDefault="00E128C0" w:rsidP="00E128C0">
      <w:pPr>
        <w:spacing w:after="200"/>
        <w:jc w:val="both"/>
        <w:rPr>
          <w:color w:val="000000"/>
          <w:szCs w:val="24"/>
        </w:rPr>
      </w:pPr>
      <w:r w:rsidRPr="00E128C0">
        <w:rPr>
          <w:color w:val="000000"/>
          <w:szCs w:val="24"/>
        </w:rPr>
        <w:t>A fentiektől eltekintve a 13. fejezet (Energiaellátás) színvonala az átlagosnál jobbnak tekinthető. A dokumentum csak az ún. átviteli villamosenergia-hálózatot tárgyalja, a 120 kV-os gerincet csupán megemlíti, a kis- és középfeszültségű elosztó-hálózat tárgyalását a településrendezési tervekre hagyja.</w:t>
      </w:r>
    </w:p>
    <w:p w:rsidR="00E128C0" w:rsidRPr="00E128C0" w:rsidRDefault="00E128C0" w:rsidP="00E128C0">
      <w:pPr>
        <w:spacing w:after="200"/>
        <w:jc w:val="both"/>
        <w:rPr>
          <w:color w:val="000000"/>
          <w:szCs w:val="24"/>
        </w:rPr>
      </w:pPr>
      <w:r w:rsidRPr="00E128C0">
        <w:rPr>
          <w:color w:val="000000"/>
          <w:szCs w:val="24"/>
        </w:rPr>
        <w:lastRenderedPageBreak/>
        <w:t xml:space="preserve">A Bátaapátiban tervezett és részben már működő (2012-től már fogad hulladékot) lerakó a hazai atomerőmű kis- és közepes aktivitású hulladékainak hosszú távú elhelyezésére is alkalmas. A nagy aktivitású hulladékok elhelyezése jelenleg nem tekinthető „véglegesen” megoldottnak: a Paksi Atomerőműben kiépült ideiglenes tároló és a természeténél fogva bizonytalannak tekinthető külföldi elhelyezés további lehetőségek feltárását és felmérését igényli – az ezzel kapcsolatos munka tudomásunk szerint folyamatos. </w:t>
      </w:r>
      <w:r w:rsidRPr="00E128C0">
        <w:rPr>
          <w:color w:val="000000"/>
          <w:szCs w:val="24"/>
          <w:highlight w:val="yellow"/>
        </w:rPr>
        <w:t>KÉRDÉS</w:t>
      </w:r>
    </w:p>
    <w:p w:rsidR="00E128C0" w:rsidRPr="00E128C0" w:rsidRDefault="00E128C0" w:rsidP="00E128C0">
      <w:pPr>
        <w:spacing w:after="200"/>
        <w:jc w:val="both"/>
        <w:rPr>
          <w:color w:val="000000"/>
          <w:szCs w:val="24"/>
        </w:rPr>
      </w:pPr>
      <w:r w:rsidRPr="00E128C0">
        <w:rPr>
          <w:color w:val="000000"/>
          <w:szCs w:val="24"/>
        </w:rPr>
        <w:t>Tisztázandó, hogy az Energiastratégiához készülő cselekvési tervek (öt ilyen készül) kormányzati jóváhagyási határideje valóban 2014-e (eredetileg 2013-ra tervezték).</w:t>
      </w:r>
    </w:p>
    <w:p w:rsidR="00E128C0" w:rsidRPr="00E128C0" w:rsidRDefault="00E128C0" w:rsidP="00E128C0">
      <w:pPr>
        <w:spacing w:after="200"/>
        <w:jc w:val="both"/>
        <w:rPr>
          <w:color w:val="000000"/>
          <w:szCs w:val="24"/>
        </w:rPr>
      </w:pPr>
      <w:r w:rsidRPr="00E128C0">
        <w:rPr>
          <w:color w:val="000000"/>
          <w:szCs w:val="24"/>
        </w:rPr>
        <w:t>Az SKV-hoz: A tervezett vonalas létesítmények (villamos és gázhálózatok) nyomvonalát az engedélyezés időszakában módosítani lehet és, ha szükséges, kell is. Maga az OTrT elegendő, ha a tervezett (koncepcionális) nyomvonalakat tartalmazza, feltéve, hogy azok környezet- és természetvédelmi szempontból elfogadható területeket érintenek.</w:t>
      </w:r>
    </w:p>
    <w:p w:rsidR="00E128C0" w:rsidRDefault="00E128C0" w:rsidP="00A24BC9">
      <w:pPr>
        <w:spacing w:after="200"/>
        <w:jc w:val="both"/>
        <w:rPr>
          <w:color w:val="000000"/>
          <w:szCs w:val="24"/>
        </w:rPr>
      </w:pPr>
    </w:p>
    <w:p w:rsidR="008C7F05" w:rsidRDefault="008C7F05" w:rsidP="00D75E9A">
      <w:pPr>
        <w:jc w:val="both"/>
        <w:rPr>
          <w:rStyle w:val="Kiemels2"/>
          <w:b w:val="0"/>
        </w:rPr>
      </w:pPr>
    </w:p>
    <w:p w:rsidR="008C7F05" w:rsidRDefault="008C7F05" w:rsidP="00D75E9A">
      <w:pPr>
        <w:jc w:val="both"/>
        <w:rPr>
          <w:rStyle w:val="Kiemels2"/>
          <w:b w:val="0"/>
        </w:rPr>
      </w:pPr>
    </w:p>
    <w:p w:rsidR="000423D6" w:rsidRPr="00A4383E" w:rsidRDefault="00F9235C" w:rsidP="00D75E9A">
      <w:pPr>
        <w:jc w:val="both"/>
        <w:rPr>
          <w:sz w:val="23"/>
          <w:szCs w:val="23"/>
        </w:rPr>
      </w:pPr>
      <w:r>
        <w:rPr>
          <w:sz w:val="23"/>
          <w:szCs w:val="23"/>
        </w:rPr>
        <w:t>2013. február 28</w:t>
      </w:r>
      <w:r w:rsidR="006E4514">
        <w:rPr>
          <w:sz w:val="23"/>
          <w:szCs w:val="23"/>
        </w:rPr>
        <w:t>.</w:t>
      </w:r>
    </w:p>
    <w:sectPr w:rsidR="000423D6" w:rsidRPr="00A4383E" w:rsidSect="00A4383E">
      <w:headerReference w:type="default" r:id="rId8"/>
      <w:footerReference w:type="default" r:id="rId9"/>
      <w:pgSz w:w="11906" w:h="16838"/>
      <w:pgMar w:top="1418" w:right="1134" w:bottom="1418" w:left="1134"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8C" w:rsidRDefault="0060288C">
      <w:r>
        <w:separator/>
      </w:r>
    </w:p>
  </w:endnote>
  <w:endnote w:type="continuationSeparator" w:id="0">
    <w:p w:rsidR="0060288C" w:rsidRDefault="006028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67" w:rsidRDefault="00820B67" w:rsidP="00F77403">
    <w:pPr>
      <w:pStyle w:val="llb"/>
      <w:pBdr>
        <w:top w:val="dashDotStroked" w:sz="24" w:space="2" w:color="auto"/>
      </w:pBdr>
      <w:jc w:val="center"/>
      <w:rPr>
        <w:rFonts w:ascii="Clarendon Condensed" w:hAnsi="Clarendon Condensed"/>
        <w:spacing w:val="40"/>
        <w:sz w:val="20"/>
      </w:rPr>
    </w:pPr>
  </w:p>
  <w:p w:rsidR="00820B67" w:rsidRDefault="007C6234"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w:t>
    </w:r>
    <w:r w:rsidR="00820B67">
      <w:rPr>
        <w:rFonts w:ascii="Clarendon Condensed" w:hAnsi="Clarendon Condensed"/>
        <w:spacing w:val="40"/>
        <w:sz w:val="20"/>
      </w:rPr>
      <w:t xml:space="preserve"> Budapest, </w:t>
    </w:r>
    <w:r>
      <w:rPr>
        <w:rFonts w:ascii="Clarendon Condensed" w:hAnsi="Clarendon Condensed"/>
        <w:spacing w:val="40"/>
        <w:sz w:val="20"/>
      </w:rPr>
      <w:t>Kossuth tér 11.</w:t>
    </w:r>
  </w:p>
  <w:p w:rsidR="00820B67" w:rsidRDefault="007C6234"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1860 Bp.</w:t>
    </w:r>
  </w:p>
  <w:p w:rsidR="00820B67" w:rsidRDefault="00820B67" w:rsidP="00F77403">
    <w:pPr>
      <w:pStyle w:val="llb"/>
      <w:jc w:val="center"/>
      <w:rPr>
        <w:rFonts w:ascii="Clarendon Condensed" w:hAnsi="Clarendon Condensed"/>
        <w:spacing w:val="40"/>
        <w:sz w:val="20"/>
      </w:rPr>
    </w:pPr>
    <w:r>
      <w:rPr>
        <w:rFonts w:ascii="Clarendon Condensed" w:hAnsi="Clarendon Condensed"/>
        <w:spacing w:val="40"/>
        <w:sz w:val="20"/>
      </w:rPr>
      <w:t xml:space="preserve">Telefon: </w:t>
    </w:r>
    <w:r w:rsidR="007C6234">
      <w:rPr>
        <w:rFonts w:ascii="Clarendon Condensed" w:hAnsi="Clarendon Condensed"/>
        <w:spacing w:val="40"/>
        <w:sz w:val="20"/>
      </w:rPr>
      <w:t>1 – 79 51 063</w:t>
    </w:r>
    <w:r>
      <w:rPr>
        <w:rFonts w:ascii="Clarendon Condensed" w:hAnsi="Clarendon Condensed"/>
        <w:spacing w:val="40"/>
        <w:sz w:val="20"/>
      </w:rPr>
      <w:t xml:space="preserve">; </w:t>
    </w:r>
    <w:r w:rsidR="007C6234">
      <w:rPr>
        <w:rFonts w:ascii="Clarendon Condensed" w:hAnsi="Clarendon Condensed"/>
        <w:spacing w:val="40"/>
        <w:sz w:val="20"/>
      </w:rPr>
      <w:t>1 – 79 53 699</w:t>
    </w:r>
    <w:r>
      <w:rPr>
        <w:rFonts w:ascii="Clarendon Condensed" w:hAnsi="Clarendon Condensed"/>
        <w:spacing w:val="40"/>
        <w:sz w:val="20"/>
      </w:rPr>
      <w:t xml:space="preserve">. Fax: </w:t>
    </w:r>
    <w:r w:rsidR="007C6234">
      <w:rPr>
        <w:rFonts w:ascii="Clarendon Condensed" w:hAnsi="Clarendon Condensed"/>
        <w:spacing w:val="40"/>
        <w:sz w:val="20"/>
      </w:rPr>
      <w:t>1 – 79 50 429</w:t>
    </w:r>
  </w:p>
  <w:p w:rsidR="00820B67" w:rsidRDefault="00820B67"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Pr="00ED4122">
        <w:rPr>
          <w:rStyle w:val="Hiperhivatkozs"/>
          <w:rFonts w:ascii="Clarendon Condensed" w:hAnsi="Clarendon Condensed"/>
          <w:spacing w:val="40"/>
          <w:sz w:val="20"/>
        </w:rPr>
        <w:t>okttitk@vm.gov.hu</w:t>
      </w:r>
    </w:hyperlink>
  </w:p>
  <w:p w:rsidR="00820B67" w:rsidRDefault="00820B67" w:rsidP="00F77403">
    <w:pPr>
      <w:pStyle w:val="llb"/>
      <w:jc w:val="center"/>
      <w:rPr>
        <w:rFonts w:ascii="Clarendon Condensed" w:hAnsi="Clarendon Condensed"/>
        <w:color w:val="FF0000"/>
        <w:spacing w:val="40"/>
        <w:sz w:val="20"/>
      </w:rPr>
    </w:pPr>
    <w:r>
      <w:rPr>
        <w:rFonts w:ascii="Clarendon Condensed" w:hAnsi="Clarendon Condensed"/>
        <w:spacing w:val="40"/>
        <w:sz w:val="20"/>
      </w:rPr>
      <w:t>www.oktt.hu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8C" w:rsidRDefault="0060288C">
      <w:r>
        <w:separator/>
      </w:r>
    </w:p>
  </w:footnote>
  <w:footnote w:type="continuationSeparator" w:id="0">
    <w:p w:rsidR="0060288C" w:rsidRDefault="00602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67" w:rsidRDefault="00025432" w:rsidP="002E2ADE">
    <w:pPr>
      <w:pStyle w:val="lfej"/>
      <w:pBdr>
        <w:bottom w:val="dashDotStroked" w:sz="24" w:space="1" w:color="auto"/>
      </w:pBdr>
      <w:rPr>
        <w:rFonts w:ascii="Clarendon Condensed" w:hAnsi="Clarendon Condensed"/>
        <w:b/>
        <w:sz w:val="16"/>
      </w:rPr>
    </w:pPr>
    <w:r w:rsidRPr="00025432">
      <w:rPr>
        <w:noProof/>
      </w:rPr>
      <w:pict>
        <v:shapetype id="_x0000_t202" coordsize="21600,21600" o:spt="202" path="m,l,21600r21600,l21600,xe">
          <v:stroke joinstyle="miter"/>
          <v:path gradientshapeok="t" o:connecttype="rect"/>
        </v:shapetype>
        <v:shape id="_x0000_s2049" type="#_x0000_t202" style="position:absolute;margin-left:406.55pt;margin-top:-7.4pt;width:83.75pt;height:21.75pt;z-index:1;mso-height-percent:200;mso-height-percent:200;mso-width-relative:margin;mso-height-relative:margin">
          <v:textbox style="mso-next-textbox:#_x0000_s2049;mso-fit-shape-to-text:t">
            <w:txbxContent>
              <w:p w:rsidR="006E4514" w:rsidRDefault="006E4514" w:rsidP="006E4514">
                <w:r>
                  <w:t>TERVEZET!</w:t>
                </w:r>
              </w:p>
            </w:txbxContent>
          </v:textbox>
        </v:shape>
      </w:pict>
    </w:r>
    <w:r w:rsidR="00820B67">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80.5pt" o:ole="">
          <v:imagedata r:id="rId1" o:title=""/>
        </v:shape>
        <o:OLEObject Type="Embed" ProgID="MSPhotoEd.3" ShapeID="_x0000_i1025" DrawAspect="Content" ObjectID="_1423921739" r:id="rId2"/>
      </w:object>
    </w:r>
  </w:p>
  <w:p w:rsidR="00820B67" w:rsidRDefault="00820B67">
    <w:pPr>
      <w:pStyle w:val="lfej"/>
      <w:jc w:val="center"/>
      <w:rPr>
        <w:rFonts w:ascii="Clarendon Condensed" w:hAnsi="Clarendon Condense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FF"/>
    <w:multiLevelType w:val="hybridMultilevel"/>
    <w:tmpl w:val="D2CA4536"/>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nsid w:val="0BFF6306"/>
    <w:multiLevelType w:val="hybridMultilevel"/>
    <w:tmpl w:val="7018A89A"/>
    <w:lvl w:ilvl="0" w:tplc="14E62D82">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84C9E"/>
    <w:multiLevelType w:val="hybridMultilevel"/>
    <w:tmpl w:val="481021C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6E67A59"/>
    <w:multiLevelType w:val="hybridMultilevel"/>
    <w:tmpl w:val="10E8CF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C7C0E7C"/>
    <w:multiLevelType w:val="hybridMultilevel"/>
    <w:tmpl w:val="A8789500"/>
    <w:lvl w:ilvl="0" w:tplc="040E0011">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49254EC5"/>
    <w:multiLevelType w:val="hybridMultilevel"/>
    <w:tmpl w:val="20560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1">
    <w:nsid w:val="6F1305FD"/>
    <w:multiLevelType w:val="hybridMultilevel"/>
    <w:tmpl w:val="C6346C74"/>
    <w:lvl w:ilvl="0" w:tplc="240420C4">
      <w:start w:val="1"/>
      <w:numFmt w:val="bullet"/>
      <w:lvlText w:val=""/>
      <w:lvlJc w:val="left"/>
      <w:pPr>
        <w:tabs>
          <w:tab w:val="num" w:pos="34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4B35A3B"/>
    <w:multiLevelType w:val="hybridMultilevel"/>
    <w:tmpl w:val="2C263A5A"/>
    <w:lvl w:ilvl="0" w:tplc="14E62D8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4"/>
  </w:num>
  <w:num w:numId="5">
    <w:abstractNumId w:val="3"/>
  </w:num>
  <w:num w:numId="6">
    <w:abstractNumId w:val="2"/>
  </w:num>
  <w:num w:numId="7">
    <w:abstractNumId w:val="11"/>
  </w:num>
  <w:num w:numId="8">
    <w:abstractNumId w:val="6"/>
  </w:num>
  <w:num w:numId="9">
    <w:abstractNumId w:val="0"/>
  </w:num>
  <w:num w:numId="10">
    <w:abstractNumId w:val="5"/>
  </w:num>
  <w:num w:numId="11">
    <w:abstractNumId w:val="1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NotTrackMove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37F6"/>
    <w:rsid w:val="00025432"/>
    <w:rsid w:val="0003417F"/>
    <w:rsid w:val="00035DF9"/>
    <w:rsid w:val="000423D6"/>
    <w:rsid w:val="00075591"/>
    <w:rsid w:val="00080183"/>
    <w:rsid w:val="000A5E71"/>
    <w:rsid w:val="000A6D82"/>
    <w:rsid w:val="000B4FA6"/>
    <w:rsid w:val="000D7677"/>
    <w:rsid w:val="000E2C5B"/>
    <w:rsid w:val="000F2CC9"/>
    <w:rsid w:val="001B1053"/>
    <w:rsid w:val="001C24E0"/>
    <w:rsid w:val="001D2AC7"/>
    <w:rsid w:val="001E05B6"/>
    <w:rsid w:val="001F0D40"/>
    <w:rsid w:val="00214B29"/>
    <w:rsid w:val="00221634"/>
    <w:rsid w:val="00230A6F"/>
    <w:rsid w:val="00275BF2"/>
    <w:rsid w:val="002A531F"/>
    <w:rsid w:val="002E2ADE"/>
    <w:rsid w:val="002F5B0E"/>
    <w:rsid w:val="00300EFF"/>
    <w:rsid w:val="00304F26"/>
    <w:rsid w:val="00323932"/>
    <w:rsid w:val="003425B7"/>
    <w:rsid w:val="00362E2F"/>
    <w:rsid w:val="00396B6C"/>
    <w:rsid w:val="003B46F7"/>
    <w:rsid w:val="00431BB3"/>
    <w:rsid w:val="00464E1B"/>
    <w:rsid w:val="00473821"/>
    <w:rsid w:val="00483A8B"/>
    <w:rsid w:val="00496653"/>
    <w:rsid w:val="004E3049"/>
    <w:rsid w:val="004F1BA5"/>
    <w:rsid w:val="004F2071"/>
    <w:rsid w:val="004F2EA4"/>
    <w:rsid w:val="004F40A1"/>
    <w:rsid w:val="00520010"/>
    <w:rsid w:val="00525A43"/>
    <w:rsid w:val="00525A56"/>
    <w:rsid w:val="00563552"/>
    <w:rsid w:val="00563632"/>
    <w:rsid w:val="00585762"/>
    <w:rsid w:val="005875AD"/>
    <w:rsid w:val="00594008"/>
    <w:rsid w:val="00597A62"/>
    <w:rsid w:val="005B6A72"/>
    <w:rsid w:val="005C5036"/>
    <w:rsid w:val="0060288C"/>
    <w:rsid w:val="00603E26"/>
    <w:rsid w:val="006262B6"/>
    <w:rsid w:val="0065074F"/>
    <w:rsid w:val="006A559A"/>
    <w:rsid w:val="006B580D"/>
    <w:rsid w:val="006D6CBB"/>
    <w:rsid w:val="006E0C38"/>
    <w:rsid w:val="006E4514"/>
    <w:rsid w:val="007067D6"/>
    <w:rsid w:val="00713E5A"/>
    <w:rsid w:val="007359FE"/>
    <w:rsid w:val="007404A6"/>
    <w:rsid w:val="007428D9"/>
    <w:rsid w:val="00796B93"/>
    <w:rsid w:val="007B0C42"/>
    <w:rsid w:val="007C6234"/>
    <w:rsid w:val="007E6C04"/>
    <w:rsid w:val="007F06CF"/>
    <w:rsid w:val="007F11DC"/>
    <w:rsid w:val="00804A80"/>
    <w:rsid w:val="00820B67"/>
    <w:rsid w:val="0082742C"/>
    <w:rsid w:val="00846191"/>
    <w:rsid w:val="0084769C"/>
    <w:rsid w:val="0087448B"/>
    <w:rsid w:val="008C6069"/>
    <w:rsid w:val="008C7F05"/>
    <w:rsid w:val="008E79BC"/>
    <w:rsid w:val="008F2494"/>
    <w:rsid w:val="00900077"/>
    <w:rsid w:val="009429E8"/>
    <w:rsid w:val="00956494"/>
    <w:rsid w:val="00960BC4"/>
    <w:rsid w:val="00967347"/>
    <w:rsid w:val="00A11588"/>
    <w:rsid w:val="00A20D14"/>
    <w:rsid w:val="00A24BC9"/>
    <w:rsid w:val="00A4383E"/>
    <w:rsid w:val="00A80A4C"/>
    <w:rsid w:val="00A812AF"/>
    <w:rsid w:val="00A819ED"/>
    <w:rsid w:val="00A83DBE"/>
    <w:rsid w:val="00AA6125"/>
    <w:rsid w:val="00AB643C"/>
    <w:rsid w:val="00AC0A57"/>
    <w:rsid w:val="00AF06F5"/>
    <w:rsid w:val="00B02F68"/>
    <w:rsid w:val="00B314B5"/>
    <w:rsid w:val="00B315B2"/>
    <w:rsid w:val="00B4658C"/>
    <w:rsid w:val="00B72F9E"/>
    <w:rsid w:val="00BA6EDA"/>
    <w:rsid w:val="00BB22C8"/>
    <w:rsid w:val="00BE6548"/>
    <w:rsid w:val="00D141BB"/>
    <w:rsid w:val="00D326FC"/>
    <w:rsid w:val="00D5765A"/>
    <w:rsid w:val="00D75E9A"/>
    <w:rsid w:val="00DC2A55"/>
    <w:rsid w:val="00DC2CC4"/>
    <w:rsid w:val="00DE3B4E"/>
    <w:rsid w:val="00E04971"/>
    <w:rsid w:val="00E128C0"/>
    <w:rsid w:val="00E548E1"/>
    <w:rsid w:val="00E56A74"/>
    <w:rsid w:val="00E76039"/>
    <w:rsid w:val="00EC3052"/>
    <w:rsid w:val="00EE38C9"/>
    <w:rsid w:val="00EF46C2"/>
    <w:rsid w:val="00F03D4D"/>
    <w:rsid w:val="00F54FE4"/>
    <w:rsid w:val="00F62AFB"/>
    <w:rsid w:val="00F648B1"/>
    <w:rsid w:val="00F719F8"/>
    <w:rsid w:val="00F77403"/>
    <w:rsid w:val="00F9235C"/>
    <w:rsid w:val="00F937F6"/>
    <w:rsid w:val="00FA6B6D"/>
    <w:rsid w:val="00FB3E0B"/>
    <w:rsid w:val="00FD4837"/>
    <w:rsid w:val="00FF327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54FE4"/>
    <w:rPr>
      <w:sz w:val="24"/>
    </w:rPr>
  </w:style>
  <w:style w:type="paragraph" w:styleId="Cmsor1">
    <w:name w:val="heading 1"/>
    <w:basedOn w:val="Norml"/>
    <w:next w:val="Norml"/>
    <w:qFormat/>
    <w:rsid w:val="00F54FE4"/>
    <w:pPr>
      <w:keepNext/>
      <w:jc w:val="center"/>
      <w:outlineLvl w:val="0"/>
    </w:pPr>
    <w:rPr>
      <w:b/>
      <w:smallCaps/>
      <w:spacing w:val="60"/>
    </w:rPr>
  </w:style>
  <w:style w:type="paragraph" w:styleId="Cmsor2">
    <w:name w:val="heading 2"/>
    <w:basedOn w:val="Norml"/>
    <w:next w:val="Norml"/>
    <w:qFormat/>
    <w:rsid w:val="00F54FE4"/>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54FE4"/>
    <w:pPr>
      <w:tabs>
        <w:tab w:val="center" w:pos="4536"/>
        <w:tab w:val="right" w:pos="9072"/>
      </w:tabs>
    </w:pPr>
  </w:style>
  <w:style w:type="paragraph" w:styleId="llb">
    <w:name w:val="footer"/>
    <w:basedOn w:val="Norml"/>
    <w:rsid w:val="00F54FE4"/>
    <w:pPr>
      <w:tabs>
        <w:tab w:val="center" w:pos="4536"/>
        <w:tab w:val="right" w:pos="9072"/>
      </w:tabs>
    </w:pPr>
  </w:style>
  <w:style w:type="paragraph" w:styleId="Szvegtrzs">
    <w:name w:val="Body Text"/>
    <w:basedOn w:val="Norml"/>
    <w:rsid w:val="00F54FE4"/>
    <w:rPr>
      <w:sz w:val="28"/>
    </w:rPr>
  </w:style>
  <w:style w:type="paragraph" w:styleId="Szvegtrzs2">
    <w:name w:val="Body Text 2"/>
    <w:basedOn w:val="Norml"/>
    <w:rsid w:val="00F54FE4"/>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rsid w:val="00B72F9E"/>
    <w:rPr>
      <w:color w:val="0000FF"/>
      <w:u w:val="single"/>
    </w:rPr>
  </w:style>
  <w:style w:type="character" w:styleId="Jegyzethivatkozs">
    <w:name w:val="annotation reference"/>
    <w:semiHidden/>
    <w:rsid w:val="006D6CBB"/>
    <w:rPr>
      <w:sz w:val="16"/>
      <w:szCs w:val="16"/>
    </w:rPr>
  </w:style>
  <w:style w:type="paragraph" w:styleId="Jegyzetszveg">
    <w:name w:val="annotation text"/>
    <w:basedOn w:val="Norml"/>
    <w:semiHidden/>
    <w:rsid w:val="006D6CBB"/>
    <w:rPr>
      <w:sz w:val="20"/>
    </w:rPr>
  </w:style>
  <w:style w:type="paragraph" w:styleId="Megjegyzstrgya">
    <w:name w:val="annotation subject"/>
    <w:basedOn w:val="Jegyzetszveg"/>
    <w:next w:val="Jegyzetszveg"/>
    <w:semiHidden/>
    <w:rsid w:val="006D6CBB"/>
    <w:rPr>
      <w:b/>
      <w:bCs/>
    </w:rPr>
  </w:style>
  <w:style w:type="paragraph" w:styleId="Lbjegyzetszveg">
    <w:name w:val="footnote text"/>
    <w:basedOn w:val="Norml"/>
    <w:link w:val="LbjegyzetszvegChar"/>
    <w:rsid w:val="005B6A72"/>
    <w:rPr>
      <w:sz w:val="20"/>
    </w:rPr>
  </w:style>
  <w:style w:type="character" w:customStyle="1" w:styleId="LbjegyzetszvegChar">
    <w:name w:val="Lábjegyzetszöveg Char"/>
    <w:basedOn w:val="Bekezdsalapbettpusa"/>
    <w:link w:val="Lbjegyzetszveg"/>
    <w:rsid w:val="005B6A72"/>
  </w:style>
  <w:style w:type="character" w:styleId="Lbjegyzet-hivatkozs">
    <w:name w:val="footnote reference"/>
    <w:rsid w:val="005B6A72"/>
    <w:rPr>
      <w:vertAlign w:val="superscript"/>
    </w:rPr>
  </w:style>
  <w:style w:type="paragraph" w:styleId="NormlWeb">
    <w:name w:val="Normal (Web)"/>
    <w:basedOn w:val="Norml"/>
    <w:rsid w:val="00713E5A"/>
    <w:pPr>
      <w:spacing w:before="100" w:beforeAutospacing="1" w:after="100" w:afterAutospacing="1"/>
    </w:pPr>
    <w:rPr>
      <w:rFonts w:eastAsia="Calibri"/>
      <w:color w:val="000000"/>
      <w:szCs w:val="24"/>
    </w:rPr>
  </w:style>
  <w:style w:type="character" w:styleId="Kiemels2">
    <w:name w:val="Strong"/>
    <w:basedOn w:val="Bekezdsalapbettpusa"/>
    <w:uiPriority w:val="22"/>
    <w:qFormat/>
    <w:rsid w:val="00304F26"/>
    <w:rPr>
      <w:b/>
      <w:bCs/>
    </w:rPr>
  </w:style>
  <w:style w:type="character" w:customStyle="1" w:styleId="apple-converted-space">
    <w:name w:val="apple-converted-space"/>
    <w:basedOn w:val="Bekezdsalapbettpusa"/>
    <w:rsid w:val="00304F26"/>
  </w:style>
  <w:style w:type="paragraph" w:styleId="Csakszveg">
    <w:name w:val="Plain Text"/>
    <w:basedOn w:val="Norml"/>
    <w:link w:val="CsakszvegChar"/>
    <w:uiPriority w:val="99"/>
    <w:unhideWhenUsed/>
    <w:rsid w:val="00A24BC9"/>
    <w:pPr>
      <w:spacing w:before="100" w:beforeAutospacing="1" w:after="100" w:afterAutospacing="1"/>
    </w:pPr>
    <w:rPr>
      <w:rFonts w:eastAsia="Calibri"/>
      <w:szCs w:val="24"/>
    </w:rPr>
  </w:style>
  <w:style w:type="character" w:customStyle="1" w:styleId="CsakszvegChar">
    <w:name w:val="Csak szöveg Char"/>
    <w:basedOn w:val="Bekezdsalapbettpusa"/>
    <w:link w:val="Csakszveg"/>
    <w:uiPriority w:val="99"/>
    <w:rsid w:val="00A24BC9"/>
    <w:rPr>
      <w:rFonts w:eastAsia="Calibri"/>
      <w:sz w:val="24"/>
      <w:szCs w:val="24"/>
    </w:rPr>
  </w:style>
  <w:style w:type="paragraph" w:styleId="Listaszerbekezds">
    <w:name w:val="List Paragraph"/>
    <w:basedOn w:val="Norml"/>
    <w:uiPriority w:val="34"/>
    <w:qFormat/>
    <w:rsid w:val="00E128C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4512818">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v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B9DB4-2E6D-4E6F-9606-14BFEDE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4477</Words>
  <Characters>30899</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ŐRI István</vt:lpstr>
    </vt:vector>
  </TitlesOfParts>
  <Company>Környezetvédelmi Minisztérium</Company>
  <LinksUpToDate>false</LinksUpToDate>
  <CharactersWithSpaces>35306</CharactersWithSpaces>
  <SharedDoc>false</SharedDoc>
  <HLinks>
    <vt:vector size="12" baseType="variant">
      <vt:variant>
        <vt:i4>7471152</vt:i4>
      </vt:variant>
      <vt:variant>
        <vt:i4>0</vt:i4>
      </vt:variant>
      <vt:variant>
        <vt:i4>0</vt:i4>
      </vt:variant>
      <vt:variant>
        <vt:i4>5</vt:i4>
      </vt:variant>
      <vt:variant>
        <vt:lpwstr>http://www.ippc.hu/hazai_bat_utmutatok.htm</vt:lpwstr>
      </vt:variant>
      <vt:variant>
        <vt:lpwstr/>
      </vt: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ŐRI István</dc:title>
  <dc:creator>Bulla Mikós, Dr.</dc:creator>
  <cp:lastModifiedBy>LakatosL</cp:lastModifiedBy>
  <cp:revision>3</cp:revision>
  <cp:lastPrinted>2012-03-05T09:52:00Z</cp:lastPrinted>
  <dcterms:created xsi:type="dcterms:W3CDTF">2013-03-04T15:53:00Z</dcterms:created>
  <dcterms:modified xsi:type="dcterms:W3CDTF">2013-03-04T16:03:00Z</dcterms:modified>
</cp:coreProperties>
</file>