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4D" w:rsidRDefault="004E0637" w:rsidP="00912A76">
      <w:pPr>
        <w:jc w:val="both"/>
      </w:pPr>
    </w:p>
    <w:p w:rsidR="00207F59" w:rsidRPr="0067063B" w:rsidRDefault="0067063B" w:rsidP="00912A76">
      <w:pPr>
        <w:jc w:val="both"/>
        <w:rPr>
          <w:b/>
        </w:rPr>
      </w:pPr>
      <w:r w:rsidRPr="0067063B">
        <w:rPr>
          <w:b/>
        </w:rPr>
        <w:t>V</w:t>
      </w:r>
      <w:r w:rsidR="001341F3">
        <w:rPr>
          <w:b/>
        </w:rPr>
        <w:t xml:space="preserve">ízgyűjtő-gazdálkodási Terv - </w:t>
      </w:r>
      <w:r w:rsidRPr="0067063B">
        <w:rPr>
          <w:b/>
        </w:rPr>
        <w:t>2</w:t>
      </w:r>
    </w:p>
    <w:p w:rsidR="000D757F" w:rsidRPr="00416676" w:rsidRDefault="000D757F" w:rsidP="00912A76">
      <w:pPr>
        <w:pStyle w:val="Listaszerbekezds"/>
        <w:numPr>
          <w:ilvl w:val="0"/>
          <w:numId w:val="7"/>
        </w:numPr>
        <w:spacing w:before="120"/>
        <w:jc w:val="both"/>
      </w:pPr>
      <w:r w:rsidRPr="00416676">
        <w:t xml:space="preserve">A VGT-2-ben szerepeltetni kell az egészséges ökoszisztémák fontos, ökológiai szolgáltatásokat </w:t>
      </w:r>
      <w:r w:rsidR="002021BD">
        <w:t>nyújtó szerepének ismertetését.</w:t>
      </w:r>
    </w:p>
    <w:p w:rsidR="000D757F" w:rsidRPr="00416676" w:rsidRDefault="000D757F" w:rsidP="00912A76">
      <w:pPr>
        <w:pStyle w:val="Listaszerbekezds"/>
        <w:spacing w:before="120"/>
        <w:ind w:left="720"/>
        <w:jc w:val="both"/>
      </w:pPr>
      <w:r w:rsidRPr="00416676">
        <w:t>Indokolás: Az egészséges ökoszisztéma nem öncél, hanem hozzájárul a jó vízminőséghez, és általában a vizek jó állapotának a fenntartásához. Tehát egy-egy ökoszisztéma nem csupán vízigénnyel bír, hanem adott esetben akár nélkülözhetetlen szolgáltatásokat is nyújt a vizeket használó emberiségnek.</w:t>
      </w:r>
    </w:p>
    <w:p w:rsidR="000D757F" w:rsidRPr="001341F3" w:rsidRDefault="000D757F" w:rsidP="00912A76">
      <w:pPr>
        <w:pStyle w:val="Listaszerbekezds"/>
        <w:numPr>
          <w:ilvl w:val="0"/>
          <w:numId w:val="7"/>
        </w:numPr>
        <w:spacing w:before="120"/>
        <w:jc w:val="both"/>
        <w:rPr>
          <w:color w:val="000000"/>
        </w:rPr>
      </w:pPr>
      <w:r w:rsidRPr="00416676">
        <w:t>Egészítsék ki a szöveget a VGT-2-ben használt</w:t>
      </w:r>
      <w:r w:rsidRPr="001341F3">
        <w:rPr>
          <w:color w:val="000000"/>
        </w:rPr>
        <w:t xml:space="preserve"> "ökológiai vízigény" fogalom meghatározásával.</w:t>
      </w:r>
    </w:p>
    <w:p w:rsidR="000D757F" w:rsidRPr="001341F3" w:rsidRDefault="000D757F" w:rsidP="00912A76">
      <w:pPr>
        <w:pStyle w:val="Listaszerbekezds"/>
        <w:spacing w:before="120"/>
        <w:ind w:left="720"/>
        <w:jc w:val="both"/>
        <w:rPr>
          <w:color w:val="000000"/>
        </w:rPr>
      </w:pPr>
      <w:r w:rsidRPr="001341F3">
        <w:rPr>
          <w:color w:val="000000"/>
        </w:rPr>
        <w:t>Indokolás: Egy víztest hasznosításának tervezéséhez alapvető az általa kielégített ökológiai vízigény számszerű ismerete. Az ökológiai vízigény definíciószintű, általános meghatározásával kapcsolatos bizonytalanságoknak nagy szakirodalma van. Ezért célszerű lenne, ha a terv kiegészülne egy "munka-definícióval", azzal, amelynek alapján a VGT-2-ben a hasznosításokat tervezik.</w:t>
      </w:r>
    </w:p>
    <w:p w:rsidR="000D757F" w:rsidRPr="00416676" w:rsidRDefault="000D757F" w:rsidP="00912A76">
      <w:pPr>
        <w:pStyle w:val="Listaszerbekezds"/>
        <w:numPr>
          <w:ilvl w:val="0"/>
          <w:numId w:val="7"/>
        </w:numPr>
        <w:spacing w:before="120"/>
        <w:jc w:val="both"/>
      </w:pPr>
      <w:r w:rsidRPr="00416676">
        <w:t>Javasoljuk, hogy a VGT-2-t egészítsék ki egy VKI monitoring adatokat tartalmazó melléklettel.</w:t>
      </w:r>
    </w:p>
    <w:p w:rsidR="000D757F" w:rsidRPr="001341F3" w:rsidRDefault="000D757F" w:rsidP="00912A76">
      <w:pPr>
        <w:pStyle w:val="Listaszerbekezds"/>
        <w:spacing w:before="120"/>
        <w:ind w:left="720"/>
        <w:jc w:val="both"/>
        <w:rPr>
          <w:color w:val="000000"/>
        </w:rPr>
      </w:pPr>
      <w:r w:rsidRPr="00416676">
        <w:t xml:space="preserve">Indokolás: </w:t>
      </w:r>
      <w:r w:rsidRPr="001341F3">
        <w:rPr>
          <w:color w:val="000000"/>
        </w:rPr>
        <w:t xml:space="preserve">A víztest szemléletű tervezés alapja a víztest minősítése, amely terepi munkákon és monitoring-adatokon nyugszik. A tervezet a mérőhelyek ismertetését táblázatba foglalva tartalmazza. Ebben azonban nincs utalás se az elvégzett mérésekre, se a mérőhelyhez tartozó adatokra. A hivatkozott az OKIR adatbázisban nem mérési adat, hanem éves átlag található. Bizonyára ez a szám is tükröz információt, de nem helyettesíti a VKI minősítést megalapozó monitoring-adatokat. A víztest minősítésében kulcsszerepet betöltő biológiai adatok egy része nem is szerepel az OKIR bázisában. </w:t>
      </w:r>
    </w:p>
    <w:p w:rsidR="000D757F" w:rsidRPr="00416676" w:rsidRDefault="000D757F" w:rsidP="00912A76">
      <w:pPr>
        <w:pStyle w:val="Listaszerbekezds"/>
        <w:numPr>
          <w:ilvl w:val="0"/>
          <w:numId w:val="7"/>
        </w:numPr>
        <w:spacing w:before="120"/>
        <w:jc w:val="both"/>
      </w:pPr>
      <w:r w:rsidRPr="00416676">
        <w:t>Minden mentességgel érintett víztest esetén tüntessék föl a mentesség konkrét okát, vagy okait.</w:t>
      </w:r>
    </w:p>
    <w:p w:rsidR="000D757F" w:rsidRPr="00416676" w:rsidRDefault="000D757F" w:rsidP="00912A76">
      <w:pPr>
        <w:pStyle w:val="Listaszerbekezds"/>
        <w:spacing w:before="120"/>
        <w:ind w:left="720"/>
        <w:jc w:val="both"/>
      </w:pPr>
      <w:r w:rsidRPr="00416676">
        <w:t>Indokolásul emlékeztetünk az EU Bizottság VGT1-hez fűzött értékelésében megfogalmazott elvárások</w:t>
      </w:r>
      <w:r>
        <w:t>ra</w:t>
      </w:r>
      <w:r w:rsidRPr="00416676">
        <w:t>: „</w:t>
      </w:r>
      <w:r w:rsidRPr="001341F3">
        <w:rPr>
          <w:rFonts w:cs="BFLAND+TimesNewRoman"/>
          <w:color w:val="000000"/>
        </w:rPr>
        <w:t>A vízgy</w:t>
      </w:r>
      <w:r w:rsidRPr="001341F3">
        <w:rPr>
          <w:color w:val="000000"/>
        </w:rPr>
        <w:t>ű</w:t>
      </w:r>
      <w:r w:rsidRPr="001341F3">
        <w:rPr>
          <w:rFonts w:cs="BFLAND+TimesNewRoman"/>
          <w:color w:val="000000"/>
        </w:rPr>
        <w:t>jt</w:t>
      </w:r>
      <w:r w:rsidRPr="001341F3">
        <w:rPr>
          <w:color w:val="000000"/>
        </w:rPr>
        <w:t>ő</w:t>
      </w:r>
      <w:r w:rsidRPr="001341F3">
        <w:rPr>
          <w:rFonts w:cs="BFLAND+TimesNewRoman"/>
          <w:color w:val="000000"/>
        </w:rPr>
        <w:t>-gazdálkodási tervek els</w:t>
      </w:r>
      <w:r w:rsidRPr="001341F3">
        <w:rPr>
          <w:color w:val="000000"/>
        </w:rPr>
        <w:t xml:space="preserve">ő </w:t>
      </w:r>
      <w:r w:rsidRPr="001341F3">
        <w:rPr>
          <w:rFonts w:cs="BFLAND+TimesNewRoman"/>
          <w:color w:val="000000"/>
        </w:rPr>
        <w:t xml:space="preserve">ciklusában </w:t>
      </w:r>
      <w:proofErr w:type="gramStart"/>
      <w:r w:rsidRPr="001341F3">
        <w:rPr>
          <w:rFonts w:cs="BFLAND+TimesNewRoman"/>
          <w:color w:val="000000"/>
        </w:rPr>
        <w:t>nagy számú</w:t>
      </w:r>
      <w:proofErr w:type="gramEnd"/>
      <w:r w:rsidRPr="001341F3">
        <w:rPr>
          <w:rFonts w:cs="BFLAND+TimesNewRoman"/>
          <w:color w:val="000000"/>
        </w:rPr>
        <w:t xml:space="preserve"> mentességet alkalmaztak. Noha a VKI rendelkezik mentességekr</w:t>
      </w:r>
      <w:r w:rsidRPr="001341F3">
        <w:rPr>
          <w:color w:val="000000"/>
        </w:rPr>
        <w:t>ő</w:t>
      </w:r>
      <w:r w:rsidRPr="001341F3">
        <w:rPr>
          <w:rFonts w:cs="BFLAND+TimesNewRoman"/>
          <w:color w:val="000000"/>
        </w:rPr>
        <w:t>l, ezek jogos alkalmazásához konkrét feltételeknek kell teljesülniük. A mentességek alkalmazásának átláthatóbbnak kell lennie, és a mentességek okait egyértelm</w:t>
      </w:r>
      <w:r w:rsidRPr="001341F3">
        <w:rPr>
          <w:color w:val="000000"/>
        </w:rPr>
        <w:t>ű</w:t>
      </w:r>
      <w:r w:rsidRPr="001341F3">
        <w:rPr>
          <w:rFonts w:cs="BFLAND+TimesNewRoman"/>
          <w:color w:val="000000"/>
        </w:rPr>
        <w:t>en meg kell határozni a tervekben. Az ebben az els</w:t>
      </w:r>
      <w:r w:rsidRPr="001341F3">
        <w:rPr>
          <w:color w:val="000000"/>
        </w:rPr>
        <w:t xml:space="preserve">ő </w:t>
      </w:r>
      <w:r w:rsidRPr="001341F3">
        <w:rPr>
          <w:rFonts w:cs="BFLAND+TimesNewRoman"/>
          <w:color w:val="000000"/>
        </w:rPr>
        <w:t>vízgy</w:t>
      </w:r>
      <w:r w:rsidRPr="001341F3">
        <w:rPr>
          <w:color w:val="000000"/>
        </w:rPr>
        <w:t>ű</w:t>
      </w:r>
      <w:r w:rsidRPr="001341F3">
        <w:rPr>
          <w:rFonts w:cs="BFLAND+TimesNewRoman"/>
          <w:color w:val="000000"/>
        </w:rPr>
        <w:t>jt</w:t>
      </w:r>
      <w:r w:rsidRPr="001341F3">
        <w:rPr>
          <w:color w:val="000000"/>
        </w:rPr>
        <w:t>ő</w:t>
      </w:r>
      <w:r w:rsidRPr="001341F3">
        <w:rPr>
          <w:rFonts w:cs="BFLAND+TimesNewRoman"/>
          <w:color w:val="000000"/>
        </w:rPr>
        <w:t>-gazdálkodási tervben alkalmazott mentességek nagy száma aggodalomra ad okot. Magyarországnak meg kell tennie minden ahhoz szükséges intézkedést, hogy a mentességek számát a következ</w:t>
      </w:r>
      <w:r w:rsidRPr="001341F3">
        <w:rPr>
          <w:color w:val="000000"/>
        </w:rPr>
        <w:t xml:space="preserve">ő </w:t>
      </w:r>
      <w:r w:rsidRPr="001341F3">
        <w:rPr>
          <w:rFonts w:cs="BFLAND+TimesNewRoman"/>
          <w:color w:val="000000"/>
        </w:rPr>
        <w:t xml:space="preserve">ciklusra lecsökkentse, beleértve a jellemzési folyamat, a </w:t>
      </w:r>
      <w:proofErr w:type="spellStart"/>
      <w:r w:rsidRPr="001341F3">
        <w:rPr>
          <w:rFonts w:cs="BFLAND+TimesNewRoman"/>
          <w:color w:val="000000"/>
        </w:rPr>
        <w:t>monitoringhálózatok</w:t>
      </w:r>
      <w:proofErr w:type="spellEnd"/>
      <w:r w:rsidRPr="001341F3">
        <w:rPr>
          <w:rFonts w:cs="BFLAND+TimesNewRoman"/>
          <w:color w:val="000000"/>
        </w:rPr>
        <w:t xml:space="preserve"> és az állapotértékelési módszerek szükséges javítását, valamint a bizonytalanság mértékének jelent</w:t>
      </w:r>
      <w:r w:rsidRPr="001341F3">
        <w:rPr>
          <w:color w:val="000000"/>
        </w:rPr>
        <w:t>ő</w:t>
      </w:r>
      <w:r w:rsidRPr="001341F3">
        <w:rPr>
          <w:rFonts w:cs="BFLAND+TimesNewRoman"/>
          <w:color w:val="000000"/>
        </w:rPr>
        <w:t>s csökkentését.”</w:t>
      </w:r>
    </w:p>
    <w:p w:rsidR="000D757F" w:rsidRPr="00416676" w:rsidRDefault="000D757F" w:rsidP="00912A76">
      <w:pPr>
        <w:pStyle w:val="Listaszerbekezds2"/>
        <w:numPr>
          <w:ilvl w:val="0"/>
          <w:numId w:val="7"/>
        </w:numPr>
        <w:spacing w:before="120"/>
        <w:jc w:val="both"/>
      </w:pPr>
      <w:r w:rsidRPr="00416676">
        <w:t>Javasoljuk a biztos pénzügyi háttérrel rendelkező beavatkozások tételes ismertetését az intézkedési program függelékeként.</w:t>
      </w:r>
    </w:p>
    <w:p w:rsidR="000D757F" w:rsidRPr="00416676" w:rsidRDefault="000D757F" w:rsidP="00912A76">
      <w:pPr>
        <w:pStyle w:val="Listaszerbekezds2"/>
        <w:spacing w:before="120"/>
        <w:ind w:left="720"/>
        <w:jc w:val="both"/>
      </w:pPr>
      <w:r w:rsidRPr="00416676">
        <w:t xml:space="preserve">Indokolás: Bár a 2014-2020 időszak operatív programjainak kialakítása és a vízgyűjtő-gazdálkodási terv felülvizsgálata párhuzamosan történt, a KEHOP fejlesztési keretének felosztásáról a VGT-2 véglegesítése előtt született döntés. Ezért célszerű lenne az intézkedési programban tételesen ismertetni, hogy melyek a ciklusban bizonyosan megvalósítható beavatkozások, és melyek kerülnek hátrányba, a forrás jelenlegi bizonytalansága miatt. </w:t>
      </w:r>
    </w:p>
    <w:p w:rsidR="000D757F" w:rsidRPr="00416676" w:rsidRDefault="000D757F" w:rsidP="00912A76">
      <w:pPr>
        <w:pStyle w:val="Listaszerbekezds2"/>
        <w:numPr>
          <w:ilvl w:val="0"/>
          <w:numId w:val="7"/>
        </w:numPr>
        <w:spacing w:before="120"/>
        <w:jc w:val="both"/>
      </w:pPr>
      <w:r w:rsidRPr="00416676">
        <w:t>Javasoljuk a VGT3 tervezési folyamat kezdetének rögzítését.</w:t>
      </w:r>
    </w:p>
    <w:p w:rsidR="000D757F" w:rsidRPr="00416676" w:rsidRDefault="000D757F" w:rsidP="00912A76">
      <w:pPr>
        <w:pStyle w:val="Listaszerbekezds2"/>
        <w:spacing w:before="120"/>
        <w:ind w:left="720"/>
        <w:jc w:val="both"/>
      </w:pPr>
      <w:r w:rsidRPr="00416676">
        <w:t>Indokolás: Ez hozzájárul ahhoz, hogy a következő időszak OP forrásainak eléréséhez már időben legyenek kész tervjavaslatok.</w:t>
      </w:r>
    </w:p>
    <w:p w:rsidR="000D757F" w:rsidRPr="00416676" w:rsidRDefault="000D757F" w:rsidP="00912A76">
      <w:pPr>
        <w:pStyle w:val="Listaszerbekezds2"/>
        <w:numPr>
          <w:ilvl w:val="0"/>
          <w:numId w:val="7"/>
        </w:numPr>
        <w:spacing w:before="120"/>
        <w:jc w:val="both"/>
      </w:pPr>
      <w:r w:rsidRPr="00416676">
        <w:lastRenderedPageBreak/>
        <w:t>Javasoljuk, hogy készüljön egy "szektorközi útmutató".</w:t>
      </w:r>
    </w:p>
    <w:p w:rsidR="000D757F" w:rsidRPr="00416676" w:rsidRDefault="000D757F" w:rsidP="00912A76">
      <w:pPr>
        <w:pStyle w:val="Listaszerbekezds2"/>
        <w:spacing w:before="120"/>
        <w:ind w:left="720"/>
        <w:jc w:val="both"/>
      </w:pPr>
      <w:r w:rsidRPr="00416676">
        <w:t>Indokolás: A vitaanyagban nem látjuk azt a folyamatot, hogy fogják a VGT2 végrehajtásáért felelős intézmények más szektorok számára kommunikálni a VGT2 céljait, és hogy fogják számukra érthetővé tenni szerepüket a végrehajtásban. Keretirányelvről lévén szó, ennek végrehajtása csak akkor lesz hatékony, ha a témában eddig nem járatos szektorok is részt vesznek benne.</w:t>
      </w:r>
    </w:p>
    <w:p w:rsidR="00207F59" w:rsidRDefault="00207F59" w:rsidP="00912A76">
      <w:pPr>
        <w:jc w:val="both"/>
        <w:rPr>
          <w:b/>
        </w:rPr>
      </w:pPr>
    </w:p>
    <w:p w:rsidR="0049018D" w:rsidRDefault="0049018D" w:rsidP="00912A76">
      <w:pPr>
        <w:jc w:val="both"/>
        <w:rPr>
          <w:b/>
        </w:rPr>
      </w:pPr>
    </w:p>
    <w:p w:rsidR="0049018D" w:rsidRDefault="0049018D" w:rsidP="00912A76">
      <w:pPr>
        <w:jc w:val="both"/>
        <w:rPr>
          <w:b/>
        </w:rPr>
      </w:pPr>
      <w:r>
        <w:rPr>
          <w:b/>
        </w:rPr>
        <w:t>Á</w:t>
      </w:r>
      <w:r w:rsidR="00912A76">
        <w:rPr>
          <w:b/>
        </w:rPr>
        <w:t xml:space="preserve">rvízi </w:t>
      </w:r>
      <w:r>
        <w:rPr>
          <w:b/>
        </w:rPr>
        <w:t>K</w:t>
      </w:r>
      <w:r w:rsidR="00912A76">
        <w:rPr>
          <w:b/>
        </w:rPr>
        <w:t xml:space="preserve">ockázatkezelési </w:t>
      </w:r>
      <w:r w:rsidR="000D757F">
        <w:rPr>
          <w:b/>
        </w:rPr>
        <w:t>T</w:t>
      </w:r>
      <w:r w:rsidR="00912A76">
        <w:rPr>
          <w:b/>
        </w:rPr>
        <w:t>erv</w:t>
      </w:r>
    </w:p>
    <w:p w:rsidR="00002A09" w:rsidRDefault="00002A09" w:rsidP="00912A76">
      <w:pPr>
        <w:pStyle w:val="Listaszerbekezds"/>
        <w:numPr>
          <w:ilvl w:val="0"/>
          <w:numId w:val="4"/>
        </w:numPr>
        <w:spacing w:after="120"/>
        <w:contextualSpacing/>
        <w:jc w:val="both"/>
      </w:pPr>
      <w:r>
        <w:t xml:space="preserve">Javasoljuk </w:t>
      </w:r>
      <w:r w:rsidRPr="00596F17">
        <w:t xml:space="preserve">az árvízi veszély- és kockázati térképeket </w:t>
      </w:r>
      <w:r w:rsidRPr="00596F17">
        <w:rPr>
          <w:i/>
        </w:rPr>
        <w:t>kis, közepes és nagy valószínűségű</w:t>
      </w:r>
      <w:r w:rsidRPr="00596F17">
        <w:t xml:space="preserve"> árvízi esemény</w:t>
      </w:r>
      <w:r>
        <w:t xml:space="preserve">eiről szóló változatainak is közzétételét </w:t>
      </w:r>
      <w:r w:rsidRPr="00596F17">
        <w:t>megfelelően részletes és közérthető magyarázatok kíséretében</w:t>
      </w:r>
      <w:r>
        <w:t>.</w:t>
      </w:r>
    </w:p>
    <w:p w:rsidR="00002A09" w:rsidRDefault="00002A09" w:rsidP="00912A76">
      <w:pPr>
        <w:pStyle w:val="Listaszerbekezds"/>
        <w:spacing w:after="120"/>
        <w:ind w:left="720"/>
        <w:contextualSpacing/>
        <w:jc w:val="both"/>
      </w:pPr>
    </w:p>
    <w:p w:rsidR="0049018D" w:rsidRDefault="00002A09" w:rsidP="00912A76">
      <w:pPr>
        <w:pStyle w:val="Listaszerbekezds"/>
        <w:spacing w:after="120"/>
        <w:ind w:left="720"/>
        <w:contextualSpacing/>
        <w:jc w:val="both"/>
      </w:pPr>
      <w:r>
        <w:t xml:space="preserve">Indoklás: </w:t>
      </w:r>
      <w:r w:rsidR="0049018D" w:rsidRPr="00596F17">
        <w:t>A</w:t>
      </w:r>
      <w:r>
        <w:t>z Árvízi kockázatkezelési tervezés folyamán</w:t>
      </w:r>
      <w:r w:rsidR="0049018D" w:rsidRPr="00596F17">
        <w:t xml:space="preserve"> nyilvánosságra hozott dokumentumok nem felelnek meg az Árvízi Irányelv 10. cikkének, amely előírja, hogy az előzetes árvízkockázat-értékelést, az árvízveszély-térképeket, az árvízkockázati térképeket és az árvízkockázat-kezelési terveket a tagállamok elérhetővé teszik a nyilvánosság számára. Mivel az Árvízi Irányelv (ÁI) 6. cikke szerint az árvízi veszély- és kockázati térképeket </w:t>
      </w:r>
      <w:r w:rsidR="0049018D" w:rsidRPr="00596F17">
        <w:rPr>
          <w:i/>
        </w:rPr>
        <w:t>kis, közepes és nagy valószínűségű</w:t>
      </w:r>
      <w:r w:rsidR="0049018D" w:rsidRPr="00596F17">
        <w:t xml:space="preserve"> árvízi eseményekre kell elkészíteni, ebből következően a nyilvánosság számára elérhetővé tett dokumentumoknak is ezeket kell tartalmaznia. A kis, közepes és nagy valószínűségű eseményekre vonatkozó térképeket </w:t>
      </w:r>
      <w:r>
        <w:t xml:space="preserve">egyaránt </w:t>
      </w:r>
      <w:r w:rsidR="0049018D" w:rsidRPr="00596F17">
        <w:t xml:space="preserve">a nyilvánosság elé </w:t>
      </w:r>
      <w:r>
        <w:t xml:space="preserve">szükséges </w:t>
      </w:r>
      <w:r w:rsidR="0049018D" w:rsidRPr="00596F17">
        <w:t xml:space="preserve">tárni, nem csak a legritkább – de legsúlyosabb károkkal fenyegető – eseményekre vonatkozóakat. Kérjük ezeknek a térképeknek azonnali nyilvánosságra hozását, megfelelően részletes és közérthető magyarázatok kíséretében. </w:t>
      </w:r>
    </w:p>
    <w:p w:rsidR="00002A09" w:rsidRPr="00596F17" w:rsidRDefault="00002A09" w:rsidP="00912A76">
      <w:pPr>
        <w:pStyle w:val="Listaszerbekezds"/>
        <w:spacing w:after="120"/>
        <w:ind w:left="720"/>
        <w:contextualSpacing/>
        <w:jc w:val="both"/>
      </w:pPr>
    </w:p>
    <w:p w:rsidR="00002A09" w:rsidRDefault="00002A09" w:rsidP="00912A76">
      <w:pPr>
        <w:pStyle w:val="Listaszerbekezds"/>
        <w:numPr>
          <w:ilvl w:val="0"/>
          <w:numId w:val="4"/>
        </w:numPr>
        <w:spacing w:after="120"/>
        <w:contextualSpacing/>
        <w:jc w:val="both"/>
      </w:pPr>
      <w:r>
        <w:t xml:space="preserve">Kérjük az </w:t>
      </w:r>
      <w:r w:rsidRPr="00596F17">
        <w:t xml:space="preserve">Országos Árvízkockázat-kezelési Koncepció és Stratégia </w:t>
      </w:r>
      <w:r>
        <w:t xml:space="preserve">nyilvánosságra hozását. </w:t>
      </w:r>
    </w:p>
    <w:p w:rsidR="00002A09" w:rsidRDefault="00002A09" w:rsidP="00912A76">
      <w:pPr>
        <w:pStyle w:val="Listaszerbekezds"/>
        <w:spacing w:after="120"/>
        <w:ind w:left="720"/>
        <w:contextualSpacing/>
        <w:jc w:val="both"/>
      </w:pPr>
    </w:p>
    <w:p w:rsidR="0049018D" w:rsidRDefault="00002A09" w:rsidP="00912A76">
      <w:pPr>
        <w:pStyle w:val="Listaszerbekezds"/>
        <w:spacing w:after="120"/>
        <w:ind w:left="720"/>
        <w:contextualSpacing/>
        <w:jc w:val="both"/>
      </w:pPr>
      <w:r>
        <w:t xml:space="preserve">Indoklás: </w:t>
      </w:r>
      <w:r w:rsidR="0049018D" w:rsidRPr="00596F17">
        <w:t>Korábbi tájékoztatás szerint, az „Árvízi kockázati térképezés és stratégiai kockázati terv készítése” (KEOP-2.5.0.B) projekt keretében készül egy Országos Árvízkockázat-kezelési Koncepció és Stratégia, amely társadalmi-politikai szinten meghatározza az árvízkockázat kezelésének Magyarországon alkalmazandó alapelvei</w:t>
      </w:r>
      <w:r>
        <w:t>t.</w:t>
      </w:r>
      <w:r w:rsidR="0049018D" w:rsidRPr="00596F17">
        <w:t xml:space="preserve"> Ezen stratégia elkészüléséről nincsen információ az elérhető anyagokban. </w:t>
      </w:r>
    </w:p>
    <w:p w:rsidR="00002A09" w:rsidRPr="00596F17" w:rsidRDefault="00002A09" w:rsidP="00912A76">
      <w:pPr>
        <w:pStyle w:val="Listaszerbekezds"/>
        <w:spacing w:after="120"/>
        <w:ind w:left="720"/>
        <w:contextualSpacing/>
        <w:jc w:val="both"/>
      </w:pPr>
    </w:p>
    <w:p w:rsidR="000651E6" w:rsidRDefault="000651E6" w:rsidP="00912A76">
      <w:pPr>
        <w:pStyle w:val="Listaszerbekezds"/>
        <w:numPr>
          <w:ilvl w:val="0"/>
          <w:numId w:val="4"/>
        </w:numPr>
        <w:spacing w:after="120"/>
        <w:contextualSpacing/>
        <w:jc w:val="both"/>
      </w:pPr>
      <w:r>
        <w:t xml:space="preserve">Javasoljuk, hogy a </w:t>
      </w:r>
      <w:r w:rsidRPr="00596F17">
        <w:t>gátszakadásokhoz rendelhető elöntött területeket és elöntési mélységeket</w:t>
      </w:r>
      <w:r>
        <w:t xml:space="preserve"> ábrázoló térképeken kívül a</w:t>
      </w:r>
      <w:r w:rsidRPr="00596F17">
        <w:t xml:space="preserve"> töltésszakadások</w:t>
      </w:r>
      <w:r>
        <w:t>ból</w:t>
      </w:r>
      <w:r w:rsidRPr="00596F17">
        <w:t xml:space="preserve"> fakadó elöntés </w:t>
      </w:r>
      <w:r w:rsidRPr="00596F17">
        <w:rPr>
          <w:i/>
        </w:rPr>
        <w:t>valószínűségére</w:t>
      </w:r>
      <w:r w:rsidRPr="00596F17">
        <w:t xml:space="preserve"> vonatkozó</w:t>
      </w:r>
      <w:r>
        <w:t xml:space="preserve"> ismeretek és következtetések nyilvánosságra hozását.</w:t>
      </w:r>
      <w:r w:rsidR="004042E9">
        <w:t xml:space="preserve"> Javasoljuk, hogy a térképek azonosítsák be és jelöljék az árvíz által veszélyeztetett veszélyes üzemek és veszélyes </w:t>
      </w:r>
      <w:proofErr w:type="gramStart"/>
      <w:r w:rsidR="004042E9">
        <w:t>anyag tároló</w:t>
      </w:r>
      <w:proofErr w:type="gramEnd"/>
      <w:r w:rsidR="004042E9">
        <w:t xml:space="preserve"> objektumok helyszíneit, az EU </w:t>
      </w:r>
      <w:proofErr w:type="spellStart"/>
      <w:r w:rsidR="004042E9">
        <w:t>Seveso</w:t>
      </w:r>
      <w:proofErr w:type="spellEnd"/>
      <w:r w:rsidR="004042E9">
        <w:t xml:space="preserve"> </w:t>
      </w:r>
      <w:r w:rsidR="005A3503">
        <w:t xml:space="preserve">3 </w:t>
      </w:r>
      <w:r w:rsidR="004042E9">
        <w:t xml:space="preserve">irányelvben </w:t>
      </w:r>
      <w:r w:rsidR="005A3503">
        <w:t xml:space="preserve">(hazai jogszabályba átültetve a veszélyes anyagokkal kapcsolatos súlyos balesetek elleni védekezésről szóló 219/2011 (X.20) kormányrendeletben), valamint az Európai Parlament és Tanács ipari kibocsátásokról szóló 2010/75/EU irányelvében </w:t>
      </w:r>
      <w:r w:rsidR="004042E9">
        <w:t>meghatározott üzemekre és anyagokra.  A kockázatkezelési tervek helyezzenek hangsúlyt arra, hogy milyen intézkedések alkalmasak ezek esetében a kockázat csökkentésére.</w:t>
      </w:r>
    </w:p>
    <w:p w:rsidR="000651E6" w:rsidRDefault="000651E6" w:rsidP="00912A76">
      <w:pPr>
        <w:pStyle w:val="Listaszerbekezds"/>
        <w:spacing w:after="120"/>
        <w:ind w:left="720"/>
        <w:contextualSpacing/>
        <w:jc w:val="both"/>
      </w:pPr>
    </w:p>
    <w:p w:rsidR="0049018D" w:rsidRPr="00596F17" w:rsidRDefault="000651E6" w:rsidP="00912A76">
      <w:pPr>
        <w:pStyle w:val="Listaszerbekezds"/>
        <w:spacing w:after="120"/>
        <w:ind w:left="720"/>
        <w:contextualSpacing/>
        <w:jc w:val="both"/>
      </w:pPr>
      <w:r>
        <w:t>Indoklás:</w:t>
      </w:r>
      <w:r w:rsidRPr="00596F17">
        <w:t xml:space="preserve"> </w:t>
      </w:r>
      <w:r w:rsidR="0049018D" w:rsidRPr="00596F17">
        <w:t>Az ÁKK tervezésről korábban közzétett ismertetők szerint (</w:t>
      </w:r>
      <w:hyperlink r:id="rId6" w:history="1">
        <w:r w:rsidR="0049018D" w:rsidRPr="00596F17">
          <w:t>http://akk.beruhazas.eu</w:t>
        </w:r>
      </w:hyperlink>
      <w:r w:rsidR="0049018D" w:rsidRPr="00596F17">
        <w:t xml:space="preserve">) az elöntési- és veszélytérképek a statisztikai valószínűség szerinti 1000 éves, 100 éves és 30 éves árvizekre készültek el. A korábbi információ szerint a térképek alapján készülő hatásfüggvényekben az árvíz okozta terhelést a sebesség és a vízmélység alapján számítják, valamint a kockázati térképek készítése során becslik az elöntés tartósságát, és egyes </w:t>
      </w:r>
      <w:r w:rsidR="0049018D" w:rsidRPr="00596F17">
        <w:lastRenderedPageBreak/>
        <w:t xml:space="preserve">esetekben az időbeli előfordulás valószínűségét is figyelembe veszik. A 2015 nyarán közzétett dokumentumok mindezeket a számításokat és azok eredményeit nem tartalmazzák. </w:t>
      </w:r>
    </w:p>
    <w:p w:rsidR="00596F17" w:rsidRPr="00596F17" w:rsidRDefault="0049018D" w:rsidP="00912A76">
      <w:pPr>
        <w:pStyle w:val="Listaszerbekezds"/>
        <w:spacing w:after="120"/>
        <w:ind w:left="709"/>
        <w:jc w:val="both"/>
      </w:pPr>
      <w:r w:rsidRPr="00596F17">
        <w:t>A veszélytérképezés alatt közzétett elöntési térképeken – a jelmagyarázat szerint – az 1</w:t>
      </w:r>
      <w:r w:rsidRPr="00596F17">
        <w:rPr>
          <w:rFonts w:cs="Miriam" w:hint="cs"/>
        </w:rPr>
        <w:t>‰</w:t>
      </w:r>
      <w:r w:rsidRPr="00596F17">
        <w:t xml:space="preserve"> valószínűségű árhullámok esetén a gátszakadásokhoz rendelhető elöntött területeket és elöntési mélységeket láthatjuk. A töltésszakadások, tehát az azokból fakadó elöntés </w:t>
      </w:r>
      <w:r w:rsidRPr="00596F17">
        <w:rPr>
          <w:i/>
        </w:rPr>
        <w:t>valószínűségére</w:t>
      </w:r>
      <w:r w:rsidRPr="00596F17">
        <w:t xml:space="preserve"> vonatkozóan viszont nem nyújt tájékoztatást a közzétett anyag. </w:t>
      </w:r>
    </w:p>
    <w:p w:rsidR="000651E6" w:rsidRDefault="000651E6" w:rsidP="00912A76">
      <w:pPr>
        <w:pStyle w:val="Listaszerbekezds"/>
        <w:numPr>
          <w:ilvl w:val="0"/>
          <w:numId w:val="4"/>
        </w:numPr>
        <w:spacing w:after="120"/>
        <w:contextualSpacing/>
        <w:jc w:val="both"/>
      </w:pPr>
      <w:r>
        <w:t xml:space="preserve">Kérjük az ország egész területét, valamennyi ártéri </w:t>
      </w:r>
      <w:proofErr w:type="spellStart"/>
      <w:r>
        <w:t>öblözetét</w:t>
      </w:r>
      <w:proofErr w:type="spellEnd"/>
      <w:r>
        <w:t xml:space="preserve"> bemutató árvízi kockázati és veszélytérképek közzétételét. </w:t>
      </w:r>
    </w:p>
    <w:p w:rsidR="000651E6" w:rsidRDefault="000651E6" w:rsidP="00912A76">
      <w:pPr>
        <w:pStyle w:val="Listaszerbekezds"/>
        <w:spacing w:after="120"/>
        <w:ind w:left="720"/>
        <w:contextualSpacing/>
        <w:jc w:val="both"/>
      </w:pPr>
    </w:p>
    <w:p w:rsidR="0049018D" w:rsidRDefault="000651E6" w:rsidP="00912A76">
      <w:pPr>
        <w:pStyle w:val="Listaszerbekezds"/>
        <w:spacing w:after="120"/>
        <w:ind w:left="720"/>
        <w:contextualSpacing/>
        <w:jc w:val="both"/>
      </w:pPr>
      <w:r>
        <w:t xml:space="preserve">Indoklás: </w:t>
      </w:r>
      <w:r w:rsidR="0049018D" w:rsidRPr="00596F17">
        <w:t xml:space="preserve">A közzétett veszély- és kockázati térképek nem fedik le az ország valamennyi árvízi </w:t>
      </w:r>
      <w:proofErr w:type="spellStart"/>
      <w:r w:rsidR="0049018D" w:rsidRPr="00596F17">
        <w:t>öblözetét</w:t>
      </w:r>
      <w:proofErr w:type="spellEnd"/>
      <w:r w:rsidR="0049018D" w:rsidRPr="00596F17">
        <w:t xml:space="preserve">, hiányzik például a főváros és több település területe a Duna-kanyarban, valamint a nyílt ártéri területek. Tekintettel arra, hogy a </w:t>
      </w:r>
      <w:r w:rsidR="0049018D" w:rsidRPr="00596F17">
        <w:rPr>
          <w:i/>
        </w:rPr>
        <w:t>tagállam által kijelölt</w:t>
      </w:r>
      <w:r w:rsidR="0049018D" w:rsidRPr="00596F17">
        <w:t xml:space="preserve"> </w:t>
      </w:r>
      <w:r w:rsidR="0049018D" w:rsidRPr="00596F17">
        <w:rPr>
          <w:i/>
        </w:rPr>
        <w:t>felelős hatóságnak</w:t>
      </w:r>
      <w:r w:rsidR="0049018D" w:rsidRPr="00596F17">
        <w:t xml:space="preserve"> az egész ország árvízkockázat-kezelési tervezését koordinálnia kell, ezeknek a területeknek a térképeit és terveit is kérjük közzétenni. </w:t>
      </w:r>
    </w:p>
    <w:p w:rsidR="000651E6" w:rsidRPr="00596F17" w:rsidRDefault="000651E6" w:rsidP="00912A76">
      <w:pPr>
        <w:pStyle w:val="Listaszerbekezds"/>
        <w:spacing w:after="120"/>
        <w:ind w:left="720"/>
        <w:contextualSpacing/>
        <w:jc w:val="both"/>
      </w:pPr>
    </w:p>
    <w:p w:rsidR="00A24847" w:rsidRDefault="00A24847" w:rsidP="00912A76">
      <w:pPr>
        <w:pStyle w:val="Listaszerbekezds"/>
        <w:numPr>
          <w:ilvl w:val="0"/>
          <w:numId w:val="4"/>
        </w:numPr>
        <w:spacing w:after="120"/>
        <w:ind w:left="714" w:hanging="357"/>
        <w:contextualSpacing/>
        <w:jc w:val="both"/>
      </w:pPr>
      <w:r>
        <w:t xml:space="preserve">Javasoljuk tisztázni, hogy a nagyvízi mederkezelési tervek lefolyás-gyorsító hatása hogy felel meg az árvíz irányelvnek, mely rögzíti, hogy </w:t>
      </w:r>
      <w:r w:rsidRPr="00596F17">
        <w:t xml:space="preserve">az árvízkockázat-kezelési tervek nem tartalmazhatnak olyan intézkedéseket, amelyek kiterjedésüknél és hatásuknál fogva jelentősen növelik az árvízkockázatot az ugyanazon vízgyűjtőbe vagy részvízgyűjtőbe tartozó </w:t>
      </w:r>
      <w:proofErr w:type="spellStart"/>
      <w:r w:rsidRPr="00596F17">
        <w:t>alvízi</w:t>
      </w:r>
      <w:proofErr w:type="spellEnd"/>
      <w:r w:rsidRPr="00596F17">
        <w:t xml:space="preserve"> vagy </w:t>
      </w:r>
      <w:proofErr w:type="spellStart"/>
      <w:r w:rsidRPr="00596F17">
        <w:t>felvízi</w:t>
      </w:r>
      <w:proofErr w:type="spellEnd"/>
      <w:r w:rsidRPr="00596F17">
        <w:t xml:space="preserve"> országokban</w:t>
      </w:r>
      <w:r>
        <w:t xml:space="preserve">. </w:t>
      </w:r>
    </w:p>
    <w:p w:rsidR="00A24847" w:rsidRDefault="00A24847" w:rsidP="00912A76">
      <w:pPr>
        <w:pStyle w:val="Listaszerbekezds"/>
        <w:spacing w:after="120"/>
        <w:ind w:left="714"/>
        <w:contextualSpacing/>
        <w:jc w:val="both"/>
      </w:pPr>
    </w:p>
    <w:p w:rsidR="00596F17" w:rsidRDefault="00A24847" w:rsidP="00912A76">
      <w:pPr>
        <w:pStyle w:val="Listaszerbekezds"/>
        <w:spacing w:after="120"/>
        <w:ind w:left="714"/>
        <w:contextualSpacing/>
        <w:jc w:val="both"/>
      </w:pPr>
      <w:r>
        <w:t>Indoklás: A</w:t>
      </w:r>
      <w:r w:rsidR="0049018D" w:rsidRPr="00596F17">
        <w:t>z ÁI 7. cikk (4) bekezdése rögzíti</w:t>
      </w:r>
      <w:r>
        <w:t xml:space="preserve"> ezt a feltételt a tagállamokkal szemben. </w:t>
      </w:r>
    </w:p>
    <w:p w:rsidR="00A24847" w:rsidRPr="00596F17" w:rsidRDefault="00A24847" w:rsidP="00912A76">
      <w:pPr>
        <w:pStyle w:val="Listaszerbekezds"/>
        <w:spacing w:after="120"/>
        <w:ind w:left="714"/>
        <w:contextualSpacing/>
        <w:jc w:val="both"/>
      </w:pPr>
    </w:p>
    <w:p w:rsidR="00A24847" w:rsidRDefault="00A24847" w:rsidP="00912A76">
      <w:pPr>
        <w:pStyle w:val="Listaszerbekezds"/>
        <w:numPr>
          <w:ilvl w:val="0"/>
          <w:numId w:val="4"/>
        </w:numPr>
        <w:spacing w:after="120"/>
        <w:ind w:left="714" w:hanging="357"/>
        <w:contextualSpacing/>
        <w:jc w:val="both"/>
      </w:pPr>
      <w:r>
        <w:t>Javasoljuk, hogy az ÁKKT és a VGT2 intézkedési programjai</w:t>
      </w:r>
      <w:r w:rsidR="001E1C2A">
        <w:t>nak</w:t>
      </w:r>
      <w:r>
        <w:t xml:space="preserve"> és ezek rangsorai</w:t>
      </w:r>
      <w:r w:rsidR="001E1C2A">
        <w:t xml:space="preserve">nak készítői </w:t>
      </w:r>
      <w:r>
        <w:t>a programokat</w:t>
      </w:r>
      <w:r w:rsidR="002021BD">
        <w:t>,</w:t>
      </w:r>
      <w:r>
        <w:t xml:space="preserve"> </w:t>
      </w:r>
      <w:r w:rsidR="001E1C2A">
        <w:t>illetve</w:t>
      </w:r>
      <w:r>
        <w:t xml:space="preserve"> a rangsorokat meghatározó értékelési szempontok közé kölcsönösen építsék be az egymással szembeni elvárásokat</w:t>
      </w:r>
      <w:r w:rsidR="001E1C2A">
        <w:t xml:space="preserve"> és ajánlásokat</w:t>
      </w:r>
      <w:r>
        <w:t xml:space="preserve">. </w:t>
      </w:r>
    </w:p>
    <w:p w:rsidR="00A24847" w:rsidRDefault="00A24847" w:rsidP="00912A76">
      <w:pPr>
        <w:pStyle w:val="Listaszerbekezds"/>
        <w:spacing w:after="120"/>
        <w:ind w:left="714"/>
        <w:contextualSpacing/>
        <w:jc w:val="both"/>
      </w:pPr>
    </w:p>
    <w:p w:rsidR="0049018D" w:rsidRPr="00596F17" w:rsidRDefault="00A24847" w:rsidP="00912A76">
      <w:pPr>
        <w:pStyle w:val="Listaszerbekezds"/>
        <w:spacing w:after="120"/>
        <w:ind w:left="714"/>
        <w:contextualSpacing/>
        <w:jc w:val="both"/>
      </w:pPr>
      <w:r>
        <w:t xml:space="preserve">Indoklás: </w:t>
      </w:r>
      <w:r w:rsidR="0049018D" w:rsidRPr="00596F17">
        <w:t>Az ÁKKT és a VGT2 intézkedéseinek összehangolására a kommunikációs csatornákon (többek között ÁKKT és VGT fórumokon) közzétett információk szerint min</w:t>
      </w:r>
      <w:r>
        <w:t>dkét tervezői csoport törekszik</w:t>
      </w:r>
      <w:r w:rsidR="0049018D" w:rsidRPr="00596F17">
        <w:t xml:space="preserve">. Ahogy az ÁI bevezetője is megfogalmazza a két tervnek – a VKI környezetvédelmi célkitűzéseire tekintettel – fel kell használnia a közös kapcsolódási pontok és előnyök kölcsönös lehetőségét, biztosítania kell a hatékonyságot és az erőforrásokkal való előrelátó gazdálkodást. Véleményünk szerint ezek az alapelvek akkor tudnának érvényesülni, ha egymás szempontjait a két terv kölcsönösen beépítené az intézkedési programok rangsorát meghatározó értékelési szempontok közé. </w:t>
      </w:r>
    </w:p>
    <w:p w:rsidR="0049018D" w:rsidRPr="00596F17" w:rsidRDefault="0049018D" w:rsidP="00912A76">
      <w:pPr>
        <w:pStyle w:val="Listaszerbekezds"/>
        <w:spacing w:after="120"/>
        <w:ind w:left="720"/>
        <w:contextualSpacing/>
        <w:jc w:val="both"/>
      </w:pPr>
    </w:p>
    <w:p w:rsidR="0049018D" w:rsidRDefault="0067063B" w:rsidP="00912A76">
      <w:pPr>
        <w:jc w:val="both"/>
        <w:rPr>
          <w:b/>
        </w:rPr>
      </w:pPr>
      <w:proofErr w:type="spellStart"/>
      <w:r>
        <w:rPr>
          <w:b/>
        </w:rPr>
        <w:t>K</w:t>
      </w:r>
      <w:r w:rsidR="00912A76">
        <w:rPr>
          <w:b/>
        </w:rPr>
        <w:t>vassay</w:t>
      </w:r>
      <w:proofErr w:type="spellEnd"/>
      <w:r w:rsidR="00912A76">
        <w:rPr>
          <w:b/>
        </w:rPr>
        <w:t xml:space="preserve"> Jenő Terv</w:t>
      </w:r>
    </w:p>
    <w:p w:rsidR="000D757F" w:rsidRDefault="000D757F" w:rsidP="004E0637">
      <w:pPr>
        <w:pStyle w:val="Listaszerbekezds"/>
        <w:numPr>
          <w:ilvl w:val="0"/>
          <w:numId w:val="9"/>
        </w:numPr>
        <w:spacing w:after="200" w:line="276" w:lineRule="auto"/>
        <w:contextualSpacing/>
        <w:jc w:val="both"/>
      </w:pPr>
      <w:r>
        <w:t xml:space="preserve">Javasoljuk tisztázni a </w:t>
      </w:r>
      <w:proofErr w:type="spellStart"/>
      <w:r>
        <w:t>Kvassay</w:t>
      </w:r>
      <w:proofErr w:type="spellEnd"/>
      <w:r>
        <w:t xml:space="preserve"> </w:t>
      </w:r>
      <w:proofErr w:type="gramStart"/>
      <w:r>
        <w:t>Terv különböző</w:t>
      </w:r>
      <w:proofErr w:type="gramEnd"/>
      <w:r>
        <w:t xml:space="preserve"> fejezetei között a vízgazdálkodást alapvetően jellemző szemléletről tett megállapítások közti ellentmondásokat. (</w:t>
      </w:r>
      <w:r w:rsidRPr="00596F17">
        <w:t>integrált, adaptív vízgazdálkodás</w:t>
      </w:r>
      <w:r>
        <w:t xml:space="preserve"> vs. nagyműtárgyak építése)</w:t>
      </w:r>
    </w:p>
    <w:p w:rsidR="000D757F" w:rsidRDefault="000D757F" w:rsidP="00912A76">
      <w:pPr>
        <w:pStyle w:val="Listaszerbekezds"/>
        <w:spacing w:after="200" w:line="276" w:lineRule="auto"/>
        <w:ind w:left="720"/>
        <w:contextualSpacing/>
        <w:jc w:val="both"/>
      </w:pPr>
    </w:p>
    <w:p w:rsidR="0067063B" w:rsidRDefault="000D757F" w:rsidP="00912A76">
      <w:pPr>
        <w:pStyle w:val="Listaszerbekezds"/>
        <w:spacing w:after="200" w:line="276" w:lineRule="auto"/>
        <w:ind w:left="720"/>
        <w:contextualSpacing/>
        <w:jc w:val="both"/>
      </w:pPr>
      <w:proofErr w:type="gramStart"/>
      <w:r>
        <w:t>indoklás</w:t>
      </w:r>
      <w:proofErr w:type="gramEnd"/>
      <w:r>
        <w:t xml:space="preserve">: </w:t>
      </w:r>
      <w:r w:rsidR="0067063B" w:rsidRPr="00596F17">
        <w:t xml:space="preserve">A </w:t>
      </w:r>
      <w:proofErr w:type="spellStart"/>
      <w:r w:rsidR="0067063B" w:rsidRPr="00596F17">
        <w:t>Kvassay</w:t>
      </w:r>
      <w:proofErr w:type="spellEnd"/>
      <w:r w:rsidR="0067063B" w:rsidRPr="00596F17">
        <w:t xml:space="preserve"> Terv deklarált alapgondolata a nagy létesítményekbe történő beruházásokkal szemben az integrált, adaptív vízgazdálkodást helyezi előtérbe: „A jövő vízgazdálkodásának a legnagyobb kihívása, hogy miként legyen megelőző és miként tegyen szert rugalmas eszközökre. Ez az évszázados „létesítményes” (</w:t>
      </w:r>
      <w:proofErr w:type="spellStart"/>
      <w:r w:rsidR="0067063B" w:rsidRPr="00596F17">
        <w:t>hard</w:t>
      </w:r>
      <w:proofErr w:type="spellEnd"/>
      <w:r w:rsidR="0067063B" w:rsidRPr="00596F17">
        <w:t>) vízépítéssel szemben a vízigényt- és kibocsájtást szabályozó, területhasználatot befolyásoló integrált (</w:t>
      </w:r>
      <w:proofErr w:type="spellStart"/>
      <w:r w:rsidR="0067063B" w:rsidRPr="00596F17">
        <w:t>soft</w:t>
      </w:r>
      <w:proofErr w:type="spellEnd"/>
      <w:r w:rsidR="0067063B" w:rsidRPr="00596F17">
        <w:t xml:space="preserve">) vízgazdálkodás”. Ezzel szemben, a </w:t>
      </w:r>
      <w:r w:rsidR="0067063B" w:rsidRPr="00596F17">
        <w:rPr>
          <w:i/>
        </w:rPr>
        <w:t>9.2 Területi vízgazdálkodás</w:t>
      </w:r>
      <w:r w:rsidR="0067063B" w:rsidRPr="00596F17">
        <w:t xml:space="preserve"> fejezetben ennek az alapelvnek teljességgel ellentmondó módon, több helyen is új nagyműtárgyak – pl. Csongrádi vízlépcső – </w:t>
      </w:r>
      <w:r w:rsidR="0067063B" w:rsidRPr="00596F17">
        <w:lastRenderedPageBreak/>
        <w:t xml:space="preserve">építését szorgalmazó szövegrészek jelennek meg. A duzzasztott terek létrehozását nagy folyóinkon a szivattyúzással kiemelhető, és vízpótlásra hasznosítható vízszétosztással állítja szembe a szöveg, ami nem az egyetlen alternatíva, tehát nem a kettő közt áll fenn választási kényszer, vannak más megoldások: A szétosztható vízkészlet környezeti károk nélkül biztosítható árvíz idején a mentett oldalra gravitációs úton történő kivezetéssel és </w:t>
      </w:r>
      <w:proofErr w:type="spellStart"/>
      <w:r w:rsidR="0067063B" w:rsidRPr="00596F17">
        <w:t>tározással</w:t>
      </w:r>
      <w:proofErr w:type="spellEnd"/>
      <w:r w:rsidR="0067063B" w:rsidRPr="00596F17">
        <w:t>.</w:t>
      </w:r>
    </w:p>
    <w:p w:rsidR="000D757F" w:rsidRPr="00596F17" w:rsidRDefault="000D757F" w:rsidP="00912A76">
      <w:pPr>
        <w:pStyle w:val="Listaszerbekezds"/>
        <w:spacing w:after="200" w:line="276" w:lineRule="auto"/>
        <w:ind w:left="720"/>
        <w:contextualSpacing/>
        <w:jc w:val="both"/>
      </w:pPr>
    </w:p>
    <w:p w:rsidR="000D757F" w:rsidRDefault="000D757F" w:rsidP="004E0637">
      <w:pPr>
        <w:pStyle w:val="Listaszerbekezds"/>
        <w:numPr>
          <w:ilvl w:val="0"/>
          <w:numId w:val="9"/>
        </w:numPr>
        <w:spacing w:after="200" w:line="276" w:lineRule="auto"/>
        <w:contextualSpacing/>
        <w:jc w:val="both"/>
      </w:pPr>
      <w:r>
        <w:t xml:space="preserve">Javasoljuk egyértelműen hangsúlyozni, hogy a vízgazdálkodásban a </w:t>
      </w:r>
      <w:r w:rsidRPr="00596F17">
        <w:t>műszaki-technikai megoldások helyett a természettel együttműködő megoldásokra kellene helyezni</w:t>
      </w:r>
      <w:r>
        <w:t xml:space="preserve"> a hangsúlyt</w:t>
      </w:r>
      <w:r w:rsidRPr="00596F17">
        <w:t xml:space="preserve">, mert hazánkban csak </w:t>
      </w:r>
      <w:proofErr w:type="gramStart"/>
      <w:r w:rsidRPr="00596F17">
        <w:t>ezáltal</w:t>
      </w:r>
      <w:proofErr w:type="gramEnd"/>
      <w:r w:rsidRPr="00596F17">
        <w:t xml:space="preserve"> biztosítható a természeti erőforrások károsodásának elkerülése, és a fenntartható használatukra alapozó társadalmi fejlődés</w:t>
      </w:r>
      <w:r>
        <w:t xml:space="preserve">. </w:t>
      </w:r>
    </w:p>
    <w:p w:rsidR="00912A76" w:rsidRDefault="00912A76" w:rsidP="00912A76">
      <w:pPr>
        <w:pStyle w:val="Listaszerbekezds"/>
        <w:spacing w:after="200" w:line="276" w:lineRule="auto"/>
        <w:ind w:left="720"/>
        <w:contextualSpacing/>
        <w:jc w:val="both"/>
      </w:pPr>
    </w:p>
    <w:p w:rsidR="00552D1E" w:rsidRDefault="002021BD" w:rsidP="00552D1E">
      <w:pPr>
        <w:pStyle w:val="Listaszerbekezds"/>
        <w:spacing w:after="200" w:line="276" w:lineRule="auto"/>
        <w:ind w:left="720"/>
        <w:contextualSpacing/>
        <w:jc w:val="both"/>
      </w:pPr>
      <w:r>
        <w:t>Indoklás: a</w:t>
      </w:r>
      <w:r w:rsidR="000D757F">
        <w:t xml:space="preserve"> </w:t>
      </w:r>
      <w:proofErr w:type="spellStart"/>
      <w:r w:rsidR="000D757F">
        <w:t>Kvassay</w:t>
      </w:r>
      <w:proofErr w:type="spellEnd"/>
      <w:r w:rsidR="000D757F">
        <w:t xml:space="preserve"> Tervben jelenleg egymással ellentmondó megállapítások szerepelnek ennek a kérdésnek a kapcsán. </w:t>
      </w:r>
      <w:r w:rsidR="00373B05">
        <w:t>A szemlélet és a megközelítés tisztázása a vízgazdálkodáson kívül azért is különösen fontos, mert a</w:t>
      </w:r>
      <w:r w:rsidR="00373B05" w:rsidRPr="00596F17">
        <w:t xml:space="preserve"> szemléletváltás</w:t>
      </w:r>
      <w:r w:rsidR="00373B05">
        <w:t xml:space="preserve"> folyamata </w:t>
      </w:r>
      <w:r w:rsidR="00373B05" w:rsidRPr="00596F17">
        <w:t>túlmutat</w:t>
      </w:r>
      <w:r w:rsidR="00373B05">
        <w:t xml:space="preserve"> a vízgazdálkodáson és</w:t>
      </w:r>
      <w:r w:rsidR="00373B05" w:rsidRPr="00596F17">
        <w:t xml:space="preserve"> az agrárium, a terül</w:t>
      </w:r>
      <w:r>
        <w:t>ethasználat, gazdaságfejlesztés</w:t>
      </w:r>
      <w:r w:rsidR="00373B05" w:rsidRPr="00596F17">
        <w:t xml:space="preserve"> stb. bevonása </w:t>
      </w:r>
      <w:r w:rsidR="00373B05">
        <w:t>nélkül nem megvalósítható</w:t>
      </w:r>
      <w:r w:rsidR="00373B05" w:rsidRPr="00596F17">
        <w:t>.</w:t>
      </w:r>
    </w:p>
    <w:p w:rsidR="00552D1E" w:rsidRDefault="00552D1E" w:rsidP="00552D1E">
      <w:pPr>
        <w:contextualSpacing/>
        <w:jc w:val="both"/>
      </w:pPr>
    </w:p>
    <w:p w:rsidR="00552D1E" w:rsidRDefault="00552D1E" w:rsidP="00552D1E">
      <w:pPr>
        <w:contextualSpacing/>
        <w:jc w:val="both"/>
      </w:pPr>
      <w:r>
        <w:t xml:space="preserve">Összeállította: Gruber Tamás, </w:t>
      </w:r>
      <w:proofErr w:type="spellStart"/>
      <w:r>
        <w:t>Hajóssy</w:t>
      </w:r>
      <w:proofErr w:type="spellEnd"/>
      <w:r>
        <w:t xml:space="preserve"> Adrienne</w:t>
      </w:r>
    </w:p>
    <w:p w:rsidR="00552D1E" w:rsidRPr="00596F17" w:rsidRDefault="004E0637" w:rsidP="00552D1E">
      <w:pPr>
        <w:contextualSpacing/>
        <w:jc w:val="both"/>
      </w:pPr>
      <w:r>
        <w:t>2015. november 27.</w:t>
      </w:r>
      <w:bookmarkStart w:id="0" w:name="_GoBack"/>
      <w:bookmarkEnd w:id="0"/>
    </w:p>
    <w:sectPr w:rsidR="00552D1E" w:rsidRPr="0059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FLAN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155A"/>
    <w:multiLevelType w:val="hybridMultilevel"/>
    <w:tmpl w:val="ABF0AB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972B1"/>
    <w:multiLevelType w:val="hybridMultilevel"/>
    <w:tmpl w:val="927E95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D3123"/>
    <w:multiLevelType w:val="hybridMultilevel"/>
    <w:tmpl w:val="651AED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55AF3"/>
    <w:multiLevelType w:val="hybridMultilevel"/>
    <w:tmpl w:val="C68A26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B1642"/>
    <w:multiLevelType w:val="hybridMultilevel"/>
    <w:tmpl w:val="927E95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869A6"/>
    <w:multiLevelType w:val="hybridMultilevel"/>
    <w:tmpl w:val="6826D1FA"/>
    <w:lvl w:ilvl="0" w:tplc="8680469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53536"/>
    <w:multiLevelType w:val="hybridMultilevel"/>
    <w:tmpl w:val="0A34AD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1728A"/>
    <w:multiLevelType w:val="hybridMultilevel"/>
    <w:tmpl w:val="08223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59"/>
    <w:rsid w:val="00002A09"/>
    <w:rsid w:val="000651E6"/>
    <w:rsid w:val="000D757F"/>
    <w:rsid w:val="001341F3"/>
    <w:rsid w:val="001E1C2A"/>
    <w:rsid w:val="002021BD"/>
    <w:rsid w:val="00207F59"/>
    <w:rsid w:val="00373B05"/>
    <w:rsid w:val="00394599"/>
    <w:rsid w:val="004042E9"/>
    <w:rsid w:val="0049018D"/>
    <w:rsid w:val="004E0637"/>
    <w:rsid w:val="00552D1E"/>
    <w:rsid w:val="00596F17"/>
    <w:rsid w:val="005A3503"/>
    <w:rsid w:val="0067063B"/>
    <w:rsid w:val="007D2476"/>
    <w:rsid w:val="00912A76"/>
    <w:rsid w:val="00A24847"/>
    <w:rsid w:val="00BE1984"/>
    <w:rsid w:val="00DA451F"/>
    <w:rsid w:val="00F86C6E"/>
    <w:rsid w:val="00F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207F59"/>
    <w:pPr>
      <w:spacing w:after="0" w:line="240" w:lineRule="auto"/>
      <w:ind w:left="708"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394599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customStyle="1" w:styleId="Listaszerbekezds2">
    <w:name w:val="Listaszerű bekezdés2"/>
    <w:basedOn w:val="Norml"/>
    <w:rsid w:val="000D757F"/>
    <w:pPr>
      <w:spacing w:after="0" w:line="240" w:lineRule="auto"/>
      <w:ind w:left="708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207F59"/>
    <w:pPr>
      <w:spacing w:after="0" w:line="240" w:lineRule="auto"/>
      <w:ind w:left="708"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394599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customStyle="1" w:styleId="Listaszerbekezds2">
    <w:name w:val="Listaszerű bekezdés2"/>
    <w:basedOn w:val="Norml"/>
    <w:rsid w:val="000D757F"/>
    <w:pPr>
      <w:spacing w:after="0" w:line="240" w:lineRule="auto"/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k.beruhazas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1415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</dc:creator>
  <cp:lastModifiedBy>LakatosL</cp:lastModifiedBy>
  <cp:revision>3</cp:revision>
  <dcterms:created xsi:type="dcterms:W3CDTF">2015-12-15T14:12:00Z</dcterms:created>
  <dcterms:modified xsi:type="dcterms:W3CDTF">2015-12-15T14:23:00Z</dcterms:modified>
</cp:coreProperties>
</file>