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5A" w:rsidRPr="00713E5A" w:rsidRDefault="00A83DBE" w:rsidP="00713E5A">
      <w:pPr>
        <w:jc w:val="center"/>
        <w:rPr>
          <w:b/>
          <w:i/>
          <w:szCs w:val="24"/>
        </w:rPr>
      </w:pPr>
      <w:bookmarkStart w:id="0" w:name="_GoBack"/>
      <w:bookmarkEnd w:id="0"/>
      <w:r>
        <w:rPr>
          <w:b/>
          <w:i/>
          <w:szCs w:val="24"/>
        </w:rPr>
        <w:t>Az Országos K</w:t>
      </w:r>
      <w:r w:rsidR="00713E5A" w:rsidRPr="00713E5A">
        <w:rPr>
          <w:b/>
          <w:i/>
          <w:szCs w:val="24"/>
        </w:rPr>
        <w:t>örnyezetvédelmi Tanács állásfoglalása</w:t>
      </w:r>
    </w:p>
    <w:p w:rsidR="00713E5A" w:rsidRPr="00713E5A" w:rsidRDefault="00713E5A" w:rsidP="00713E5A">
      <w:pPr>
        <w:jc w:val="center"/>
        <w:rPr>
          <w:b/>
          <w:i/>
          <w:szCs w:val="24"/>
        </w:rPr>
      </w:pPr>
      <w:r w:rsidRPr="00713E5A">
        <w:rPr>
          <w:b/>
          <w:i/>
          <w:szCs w:val="24"/>
        </w:rPr>
        <w:t>„A telepengedély, illetve a telep létesítésének bejelentése alapján gyakorolható egyes termelő és egyes szolgáltató tevékenységekről, valamint a telepengedélyezés rendjéről és a bejelentés szabályairól” szóló Korm. rendelet tervezetről</w:t>
      </w:r>
    </w:p>
    <w:p w:rsidR="0065074F" w:rsidRDefault="0065074F" w:rsidP="0065074F">
      <w:pPr>
        <w:jc w:val="center"/>
        <w:rPr>
          <w:sz w:val="23"/>
          <w:szCs w:val="23"/>
        </w:rPr>
      </w:pPr>
    </w:p>
    <w:p w:rsidR="00A83DBE" w:rsidRPr="00A4383E" w:rsidRDefault="00A83DBE" w:rsidP="0065074F">
      <w:pPr>
        <w:jc w:val="center"/>
        <w:rPr>
          <w:sz w:val="23"/>
          <w:szCs w:val="23"/>
        </w:rPr>
      </w:pPr>
    </w:p>
    <w:p w:rsidR="00713E5A" w:rsidRPr="00CF477B" w:rsidRDefault="00713E5A" w:rsidP="00713E5A">
      <w:pPr>
        <w:pStyle w:val="NormlWeb"/>
        <w:spacing w:before="0" w:beforeAutospacing="0" w:after="0" w:afterAutospacing="0"/>
        <w:jc w:val="both"/>
        <w:rPr>
          <w:color w:val="auto"/>
          <w:lang w:eastAsia="en-US"/>
        </w:rPr>
      </w:pPr>
      <w:r w:rsidRPr="00CF477B">
        <w:rPr>
          <w:color w:val="auto"/>
        </w:rPr>
        <w:t>A Nemzetgazdasági Miniszter 2013. januári javaslata a „</w:t>
      </w:r>
      <w:proofErr w:type="gramStart"/>
      <w:r w:rsidRPr="00CF477B">
        <w:rPr>
          <w:color w:val="auto"/>
        </w:rPr>
        <w:t>Kormány ….</w:t>
      </w:r>
      <w:proofErr w:type="gramEnd"/>
      <w:r w:rsidRPr="00CF477B">
        <w:rPr>
          <w:color w:val="auto"/>
        </w:rPr>
        <w:t xml:space="preserve">/2013. (…….) Korm. rendelete </w:t>
      </w:r>
      <w:r w:rsidRPr="00CF477B">
        <w:rPr>
          <w:color w:val="auto"/>
          <w:lang w:eastAsia="en-US"/>
        </w:rPr>
        <w:t xml:space="preserve">a telepengedély, illetve a telep létesítésének bejelentése alapján gyakorolható egyes termelő és egyes szolgáltató tevékenységekről, valamint a telepengedélyezés rendjéről és a bejelentés szabályairól” tárgyában érdemben nem válaszol sem a JNO, sem az AJBH alkotmányos aggályaira, amelyek a környezethez való jog védelmének garanciáit hivatottak erősíteni. </w:t>
      </w:r>
    </w:p>
    <w:p w:rsidR="00713E5A" w:rsidRPr="00CF477B" w:rsidRDefault="00713E5A" w:rsidP="00713E5A">
      <w:pPr>
        <w:pStyle w:val="NormlWeb"/>
        <w:spacing w:before="0" w:beforeAutospacing="0" w:after="0" w:afterAutospacing="0"/>
        <w:jc w:val="both"/>
        <w:rPr>
          <w:color w:val="auto"/>
          <w:lang w:eastAsia="en-US"/>
        </w:rPr>
      </w:pPr>
    </w:p>
    <w:p w:rsidR="00713E5A" w:rsidRPr="00CF477B" w:rsidRDefault="00713E5A" w:rsidP="00713E5A">
      <w:pPr>
        <w:pStyle w:val="NormlWeb"/>
        <w:spacing w:before="0" w:beforeAutospacing="0" w:after="0" w:afterAutospacing="0"/>
        <w:jc w:val="both"/>
        <w:rPr>
          <w:color w:val="auto"/>
        </w:rPr>
      </w:pPr>
      <w:r w:rsidRPr="00CF477B">
        <w:rPr>
          <w:color w:val="auto"/>
          <w:lang w:eastAsia="en-US"/>
        </w:rPr>
        <w:t>Különösen nagy eltérés mutatkozik az engedélyhez és bejelentéshez kötött tevékenységek között, holott a vonatkozó mellékletek ezt messze nem indokolják (pl. csupán bejelentés köteles a – 1. melléklet szerint - gyakorlatban számos jogvitát kiváltó</w:t>
      </w:r>
      <w:r>
        <w:rPr>
          <w:color w:val="auto"/>
          <w:lang w:eastAsia="en-US"/>
        </w:rPr>
        <w:t xml:space="preserve"> gyártó és szolgáltató tevékenység </w:t>
      </w:r>
      <w:r w:rsidRPr="00CF477B">
        <w:rPr>
          <w:color w:val="auto"/>
        </w:rPr>
        <w:t>, aminek következtében az állampolgárokat érintő jogvédelem szintje csökken, ami pedig nem felel meg az AB töretlen gyakorlatában megnyilvánuló visszalépés tilalmának. Erre még akkor is hivatkozott a 44/2012. (XII. 20.) AB határozat, ha nem vizsgálta érdemben ennek feltételeit. Sőt, éppen az OKT-t nevezte meg e jogok biztosítéka garanciájának.</w:t>
      </w:r>
      <w:r w:rsidR="00F719F8">
        <w:rPr>
          <w:color w:val="auto"/>
        </w:rPr>
        <w:t>)</w:t>
      </w:r>
    </w:p>
    <w:p w:rsidR="00713E5A" w:rsidRPr="00CF477B" w:rsidRDefault="00713E5A" w:rsidP="00713E5A">
      <w:pPr>
        <w:pStyle w:val="NormlWeb"/>
        <w:spacing w:before="0" w:beforeAutospacing="0" w:after="0" w:afterAutospacing="0"/>
        <w:rPr>
          <w:color w:val="auto"/>
        </w:rPr>
      </w:pPr>
    </w:p>
    <w:p w:rsidR="00713E5A" w:rsidRPr="00CF477B" w:rsidRDefault="00713E5A" w:rsidP="00713E5A">
      <w:pPr>
        <w:pStyle w:val="NormlWeb"/>
        <w:spacing w:before="0" w:beforeAutospacing="0" w:after="0" w:afterAutospacing="0"/>
        <w:jc w:val="both"/>
        <w:rPr>
          <w:color w:val="auto"/>
        </w:rPr>
      </w:pPr>
      <w:r w:rsidRPr="00505FC1">
        <w:rPr>
          <w:b/>
          <w:color w:val="auto"/>
        </w:rPr>
        <w:t>A javaslat tehát érdemben alig lép előre a hatályon kívül helyezett jogszabályhoz képest</w:t>
      </w:r>
      <w:r w:rsidRPr="00CF477B">
        <w:rPr>
          <w:color w:val="auto"/>
        </w:rPr>
        <w:t xml:space="preserve"> a környezethez való jog garanciái tekintetében – amelyek mind a jogbiztonságra, jogérvényesítés lehetőségére, mind a környezet adott védelmi szintjének csökkentésére vonatkoznak -, </w:t>
      </w:r>
      <w:r w:rsidRPr="00505FC1">
        <w:rPr>
          <w:b/>
          <w:color w:val="auto"/>
        </w:rPr>
        <w:t>ezért</w:t>
      </w:r>
      <w:r w:rsidRPr="00CF477B">
        <w:rPr>
          <w:color w:val="auto"/>
        </w:rPr>
        <w:t xml:space="preserve"> </w:t>
      </w:r>
      <w:r w:rsidRPr="00CF477B">
        <w:rPr>
          <w:b/>
          <w:color w:val="auto"/>
        </w:rPr>
        <w:t>annak jelentős felülvizsgálata indokolt</w:t>
      </w:r>
      <w:r w:rsidRPr="00CF477B">
        <w:rPr>
          <w:color w:val="auto"/>
        </w:rPr>
        <w:t>.</w:t>
      </w:r>
    </w:p>
    <w:p w:rsidR="00713E5A" w:rsidRDefault="00713E5A" w:rsidP="00713E5A">
      <w:pPr>
        <w:pStyle w:val="NormlWeb"/>
        <w:spacing w:before="0" w:beforeAutospacing="0" w:after="0" w:afterAutospacing="0"/>
        <w:jc w:val="both"/>
        <w:rPr>
          <w:color w:val="222222"/>
        </w:rPr>
      </w:pPr>
    </w:p>
    <w:p w:rsidR="00713E5A" w:rsidRDefault="00713E5A" w:rsidP="00713E5A">
      <w:pPr>
        <w:pStyle w:val="NormlWeb"/>
        <w:spacing w:before="0" w:beforeAutospacing="0" w:after="0" w:afterAutospacing="0"/>
        <w:jc w:val="both"/>
        <w:rPr>
          <w:b/>
          <w:color w:val="222222"/>
        </w:rPr>
      </w:pPr>
      <w:r w:rsidRPr="00CF477B">
        <w:rPr>
          <w:b/>
          <w:color w:val="222222"/>
        </w:rPr>
        <w:t xml:space="preserve">Az OKT ezért a javaslatot jelen formájában </w:t>
      </w:r>
      <w:r>
        <w:rPr>
          <w:b/>
          <w:color w:val="222222"/>
        </w:rPr>
        <w:t xml:space="preserve">nem </w:t>
      </w:r>
      <w:r w:rsidRPr="00CF477B">
        <w:rPr>
          <w:b/>
          <w:color w:val="222222"/>
        </w:rPr>
        <w:t>találja alkalma</w:t>
      </w:r>
      <w:r>
        <w:rPr>
          <w:b/>
          <w:color w:val="222222"/>
        </w:rPr>
        <w:t>s</w:t>
      </w:r>
      <w:r w:rsidRPr="00CF477B">
        <w:rPr>
          <w:b/>
          <w:color w:val="222222"/>
        </w:rPr>
        <w:t>nak a környezethez való jog megfelelő</w:t>
      </w:r>
      <w:r>
        <w:rPr>
          <w:b/>
          <w:color w:val="222222"/>
        </w:rPr>
        <w:t xml:space="preserve"> biztosításának megvalósítására, annak átdolgozását, kiegészítését kezdeményezi.</w:t>
      </w:r>
    </w:p>
    <w:p w:rsidR="00713E5A" w:rsidRDefault="00713E5A" w:rsidP="00713E5A">
      <w:pPr>
        <w:pStyle w:val="NormlWeb"/>
        <w:spacing w:before="0" w:beforeAutospacing="0" w:after="0" w:afterAutospacing="0"/>
        <w:jc w:val="both"/>
        <w:rPr>
          <w:b/>
          <w:color w:val="222222"/>
        </w:rPr>
      </w:pPr>
    </w:p>
    <w:p w:rsidR="00713E5A" w:rsidRDefault="00713E5A" w:rsidP="00713E5A">
      <w:pPr>
        <w:pStyle w:val="NormlWeb"/>
        <w:spacing w:before="0" w:beforeAutospacing="0" w:after="0" w:afterAutospacing="0"/>
        <w:jc w:val="both"/>
        <w:rPr>
          <w:b/>
          <w:color w:val="222222"/>
        </w:rPr>
      </w:pPr>
      <w:r>
        <w:rPr>
          <w:b/>
          <w:color w:val="222222"/>
        </w:rPr>
        <w:t>Ennek keretében különösen át kell gondolni:</w:t>
      </w:r>
    </w:p>
    <w:p w:rsidR="00713E5A" w:rsidRDefault="00713E5A" w:rsidP="00713E5A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outlineLvl w:val="0"/>
        <w:rPr>
          <w:szCs w:val="24"/>
        </w:rPr>
      </w:pPr>
      <w:r w:rsidRPr="00535D32">
        <w:rPr>
          <w:szCs w:val="24"/>
        </w:rPr>
        <w:t xml:space="preserve">A bejelentéshez és engedélyhez kötött tevékenységek listáját, </w:t>
      </w:r>
      <w:r>
        <w:rPr>
          <w:szCs w:val="24"/>
        </w:rPr>
        <w:t>amely nem tükrözi kellőképpen a szolgáltatások és ipari, termelési tevékenységek közötti különbséget.</w:t>
      </w:r>
    </w:p>
    <w:p w:rsidR="00713E5A" w:rsidRDefault="00713E5A" w:rsidP="00713E5A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>A bejelentés jogi hatályának kérdését, annak érdekében, hogy az ügyféli jogok (pl. szomszédok jogai) érvényesíthetők legyenek, pl. jogorvoslati lehetőséget biztosítva a bejelentést formálisan jóváhagyó, így érdemi döntést jelentő, szükségképpen bevezetésre kerülő végzéssel szemben.</w:t>
      </w:r>
    </w:p>
    <w:p w:rsidR="00713E5A" w:rsidRDefault="00713E5A" w:rsidP="00713E5A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>A bejelentést jóváhagyó végzés előtt különösen a környezetvédelmi, szomszédjogi, stb. szempontok vizsgá</w:t>
      </w:r>
      <w:r w:rsidR="00F719F8">
        <w:rPr>
          <w:szCs w:val="24"/>
        </w:rPr>
        <w:t>latát a döntéshozó felelősségévé</w:t>
      </w:r>
      <w:r>
        <w:rPr>
          <w:szCs w:val="24"/>
        </w:rPr>
        <w:t xml:space="preserve"> kell tenni.</w:t>
      </w:r>
    </w:p>
    <w:p w:rsidR="00713E5A" w:rsidRDefault="00713E5A" w:rsidP="00713E5A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outlineLvl w:val="0"/>
        <w:rPr>
          <w:szCs w:val="24"/>
        </w:rPr>
      </w:pPr>
      <w:r>
        <w:rPr>
          <w:szCs w:val="24"/>
        </w:rPr>
        <w:t>Elő kell írni a döntéshozó hatóság számára a tevékenység rendszeres ellenőrzésének kötelezettségét.</w:t>
      </w:r>
    </w:p>
    <w:p w:rsidR="00A83DBE" w:rsidRDefault="00A83DBE" w:rsidP="00713E5A">
      <w:pPr>
        <w:jc w:val="both"/>
        <w:outlineLvl w:val="0"/>
        <w:rPr>
          <w:szCs w:val="24"/>
        </w:rPr>
      </w:pPr>
    </w:p>
    <w:p w:rsidR="00A83DBE" w:rsidRDefault="00A83DBE" w:rsidP="00713E5A">
      <w:pPr>
        <w:jc w:val="both"/>
        <w:outlineLvl w:val="0"/>
        <w:rPr>
          <w:szCs w:val="24"/>
        </w:rPr>
      </w:pPr>
    </w:p>
    <w:p w:rsidR="00A83DBE" w:rsidRDefault="00A83DBE" w:rsidP="00713E5A">
      <w:pPr>
        <w:jc w:val="both"/>
        <w:outlineLvl w:val="0"/>
        <w:rPr>
          <w:szCs w:val="24"/>
        </w:rPr>
      </w:pPr>
    </w:p>
    <w:p w:rsidR="00A83DBE" w:rsidRDefault="00A83DBE" w:rsidP="00713E5A">
      <w:pPr>
        <w:jc w:val="both"/>
        <w:outlineLvl w:val="0"/>
        <w:rPr>
          <w:szCs w:val="24"/>
        </w:rPr>
      </w:pPr>
    </w:p>
    <w:p w:rsidR="00A83DBE" w:rsidRDefault="00713E5A" w:rsidP="00713E5A">
      <w:pPr>
        <w:jc w:val="both"/>
        <w:outlineLvl w:val="0"/>
        <w:rPr>
          <w:szCs w:val="24"/>
        </w:rPr>
      </w:pPr>
      <w:r>
        <w:rPr>
          <w:szCs w:val="24"/>
        </w:rPr>
        <w:lastRenderedPageBreak/>
        <w:t>Az Országos Környezetvédelmi Tanács fönti állásfoglalásához a Tanács környezet- és természetvédelmi szervezetek által delegáltjainak tagcsoportja az alábbi kiegészítést tette.</w:t>
      </w:r>
    </w:p>
    <w:p w:rsidR="00A83DBE" w:rsidRPr="00535D32" w:rsidRDefault="00A83DBE" w:rsidP="00713E5A">
      <w:pPr>
        <w:jc w:val="both"/>
        <w:outlineLvl w:val="0"/>
        <w:rPr>
          <w:szCs w:val="24"/>
        </w:rPr>
      </w:pPr>
    </w:p>
    <w:p w:rsidR="00A83DBE" w:rsidRPr="00A83DBE" w:rsidRDefault="00A83DBE" w:rsidP="00A83DBE">
      <w:pPr>
        <w:jc w:val="both"/>
        <w:rPr>
          <w:bCs/>
          <w:i/>
          <w:iCs/>
          <w:szCs w:val="24"/>
        </w:rPr>
      </w:pPr>
      <w:r w:rsidRPr="00A83DBE">
        <w:rPr>
          <w:bCs/>
          <w:i/>
          <w:iCs/>
          <w:szCs w:val="24"/>
        </w:rPr>
        <w:t xml:space="preserve">A bejelentéshez és engedélyhez kötött tevékenységek listájában a jogszabály nem a teljesség igényével fogalmaz meg kivételeket. Példaként a kézműves termékek előállítása kapcsán fogalmazunk meg szövegszerű javaslatokat: </w:t>
      </w:r>
    </w:p>
    <w:p w:rsidR="00A83DBE" w:rsidRPr="00A83DBE" w:rsidRDefault="00A83DBE" w:rsidP="00A83DBE">
      <w:pPr>
        <w:jc w:val="both"/>
        <w:rPr>
          <w:i/>
          <w:iCs/>
          <w:szCs w:val="24"/>
        </w:rPr>
      </w:pPr>
      <w:r w:rsidRPr="00A83DBE">
        <w:rPr>
          <w:b/>
          <w:bCs/>
          <w:i/>
          <w:iCs/>
          <w:szCs w:val="24"/>
        </w:rPr>
        <w:t xml:space="preserve">1.§ </w:t>
      </w:r>
      <w:r w:rsidRPr="00A83DBE">
        <w:rPr>
          <w:b/>
          <w:i/>
          <w:iCs/>
          <w:szCs w:val="24"/>
        </w:rPr>
        <w:t>(4)</w:t>
      </w:r>
      <w:r w:rsidRPr="00A83DBE">
        <w:rPr>
          <w:i/>
          <w:iCs/>
          <w:szCs w:val="24"/>
        </w:rPr>
        <w:t xml:space="preserve"> E rendelet hatálya nem terjed ki a </w:t>
      </w:r>
      <w:r w:rsidRPr="00A83DBE">
        <w:rPr>
          <w:bCs/>
          <w:i/>
          <w:iCs/>
          <w:szCs w:val="24"/>
        </w:rPr>
        <w:t>kézműves termék</w:t>
      </w:r>
      <w:r w:rsidRPr="00A83DBE">
        <w:rPr>
          <w:i/>
          <w:iCs/>
          <w:szCs w:val="24"/>
        </w:rPr>
        <w:t xml:space="preserve"> előállító </w:t>
      </w:r>
      <w:proofErr w:type="spellStart"/>
      <w:r w:rsidRPr="00A83DBE">
        <w:rPr>
          <w:i/>
          <w:iCs/>
          <w:szCs w:val="24"/>
        </w:rPr>
        <w:t>mikrovállalkozásokra</w:t>
      </w:r>
      <w:proofErr w:type="spellEnd"/>
      <w:r w:rsidRPr="00A83DBE">
        <w:rPr>
          <w:i/>
          <w:iCs/>
          <w:szCs w:val="24"/>
        </w:rPr>
        <w:t xml:space="preserve">. </w:t>
      </w:r>
    </w:p>
    <w:p w:rsidR="00A83DBE" w:rsidRPr="00A83DBE" w:rsidRDefault="00A83DBE" w:rsidP="00A83DBE">
      <w:pPr>
        <w:jc w:val="both"/>
        <w:rPr>
          <w:i/>
          <w:iCs/>
          <w:szCs w:val="24"/>
        </w:rPr>
      </w:pPr>
      <w:r w:rsidRPr="00A83DBE">
        <w:rPr>
          <w:b/>
          <w:bCs/>
          <w:i/>
          <w:iCs/>
          <w:szCs w:val="24"/>
        </w:rPr>
        <w:t>2.§</w:t>
      </w:r>
      <w:r w:rsidRPr="00A83DBE">
        <w:rPr>
          <w:i/>
          <w:iCs/>
          <w:szCs w:val="24"/>
        </w:rPr>
        <w:t xml:space="preserve"> E rendelet alkalmazásában:</w:t>
      </w:r>
    </w:p>
    <w:p w:rsidR="00A83DBE" w:rsidRPr="00A83DBE" w:rsidRDefault="00A83DBE" w:rsidP="00A83DBE">
      <w:pPr>
        <w:jc w:val="both"/>
        <w:rPr>
          <w:i/>
          <w:iCs/>
          <w:szCs w:val="24"/>
          <w:u w:val="single"/>
        </w:rPr>
      </w:pPr>
      <w:r w:rsidRPr="00A83DBE">
        <w:rPr>
          <w:i/>
          <w:iCs/>
          <w:szCs w:val="24"/>
        </w:rPr>
        <w:t xml:space="preserve">1. </w:t>
      </w:r>
      <w:r w:rsidRPr="00A83DBE">
        <w:rPr>
          <w:bCs/>
          <w:i/>
          <w:iCs/>
          <w:szCs w:val="24"/>
          <w:u w:val="single"/>
        </w:rPr>
        <w:t>Kézműves termék</w:t>
      </w:r>
      <w:r w:rsidRPr="00A83DBE">
        <w:rPr>
          <w:i/>
          <w:iCs/>
          <w:szCs w:val="24"/>
          <w:u w:val="single"/>
        </w:rPr>
        <w:t>:</w:t>
      </w:r>
    </w:p>
    <w:p w:rsidR="00A83DBE" w:rsidRPr="00A83DBE" w:rsidRDefault="00A83DBE" w:rsidP="00A83DBE">
      <w:pPr>
        <w:jc w:val="both"/>
        <w:rPr>
          <w:i/>
          <w:iCs/>
          <w:szCs w:val="24"/>
        </w:rPr>
      </w:pPr>
      <w:r w:rsidRPr="00A83DBE">
        <w:rPr>
          <w:i/>
          <w:iCs/>
          <w:szCs w:val="24"/>
        </w:rPr>
        <w:t>- kézműves népi iparművészeti termék</w:t>
      </w:r>
    </w:p>
    <w:p w:rsidR="00A83DBE" w:rsidRPr="00A83DBE" w:rsidRDefault="00A83DBE" w:rsidP="00A83DBE">
      <w:pPr>
        <w:jc w:val="both"/>
        <w:rPr>
          <w:i/>
          <w:iCs/>
          <w:szCs w:val="24"/>
        </w:rPr>
      </w:pPr>
      <w:r w:rsidRPr="00A83DBE">
        <w:rPr>
          <w:i/>
          <w:iCs/>
          <w:szCs w:val="24"/>
        </w:rPr>
        <w:t>- népi kézműves termék</w:t>
      </w:r>
    </w:p>
    <w:p w:rsidR="00A83DBE" w:rsidRPr="00A83DBE" w:rsidRDefault="00A83DBE" w:rsidP="00A83DBE">
      <w:pPr>
        <w:jc w:val="both"/>
        <w:rPr>
          <w:i/>
          <w:iCs/>
          <w:szCs w:val="24"/>
        </w:rPr>
      </w:pPr>
      <w:r w:rsidRPr="00A83DBE">
        <w:rPr>
          <w:i/>
          <w:iCs/>
          <w:szCs w:val="24"/>
        </w:rPr>
        <w:t>- kézműves háziipari termék</w:t>
      </w:r>
    </w:p>
    <w:p w:rsidR="00A83DBE" w:rsidRPr="00A83DBE" w:rsidRDefault="00A83DBE" w:rsidP="00A83DBE">
      <w:pPr>
        <w:jc w:val="both"/>
        <w:rPr>
          <w:i/>
          <w:iCs/>
          <w:szCs w:val="24"/>
        </w:rPr>
      </w:pPr>
      <w:r w:rsidRPr="00A83DBE">
        <w:rPr>
          <w:i/>
          <w:iCs/>
          <w:szCs w:val="24"/>
        </w:rPr>
        <w:t>- kézműves élelmiszer</w:t>
      </w:r>
    </w:p>
    <w:p w:rsidR="00A83DBE" w:rsidRPr="00A83DBE" w:rsidRDefault="00A83DBE" w:rsidP="00A83DBE">
      <w:pPr>
        <w:jc w:val="both"/>
        <w:rPr>
          <w:i/>
          <w:iCs/>
          <w:szCs w:val="24"/>
        </w:rPr>
      </w:pPr>
      <w:r w:rsidRPr="00A83DBE">
        <w:rPr>
          <w:i/>
          <w:iCs/>
          <w:szCs w:val="24"/>
        </w:rPr>
        <w:t xml:space="preserve">A </w:t>
      </w:r>
      <w:r w:rsidRPr="00A83DBE">
        <w:rPr>
          <w:bCs/>
          <w:i/>
          <w:iCs/>
          <w:szCs w:val="24"/>
        </w:rPr>
        <w:t>7. melléklet szerinti kézműves terméket előállító</w:t>
      </w:r>
      <w:r w:rsidRPr="00A83DBE">
        <w:rPr>
          <w:i/>
          <w:iCs/>
          <w:szCs w:val="24"/>
        </w:rPr>
        <w:t xml:space="preserve"> által Magyarországon egyedileg előállított olyan természetes alapanyagból készített termék, melynek jellegében és értékében nem a felhasznált alapanyag, hanem a maga által elvégzett alkotó hagyományokra épülő kézi munkája dominál, és jellemző a termelési érték volumenének csekély volta is az ipari termeléshez képest.</w:t>
      </w:r>
    </w:p>
    <w:p w:rsidR="00A83DBE" w:rsidRPr="00A83DBE" w:rsidRDefault="00A83DBE" w:rsidP="00A83DBE">
      <w:pPr>
        <w:jc w:val="both"/>
        <w:rPr>
          <w:b/>
          <w:bCs/>
          <w:i/>
          <w:iCs/>
          <w:szCs w:val="24"/>
        </w:rPr>
      </w:pPr>
    </w:p>
    <w:p w:rsidR="00A83DBE" w:rsidRPr="00A83DBE" w:rsidRDefault="00A83DBE" w:rsidP="00A83DBE">
      <w:pPr>
        <w:jc w:val="both"/>
        <w:rPr>
          <w:bCs/>
          <w:i/>
          <w:iCs/>
          <w:szCs w:val="24"/>
        </w:rPr>
      </w:pPr>
      <w:r w:rsidRPr="00A83DBE">
        <w:rPr>
          <w:b/>
          <w:bCs/>
          <w:i/>
          <w:iCs/>
          <w:szCs w:val="24"/>
        </w:rPr>
        <w:t>7. melléklet</w:t>
      </w:r>
      <w:r w:rsidRPr="00A83DBE">
        <w:rPr>
          <w:bCs/>
          <w:i/>
          <w:iCs/>
          <w:szCs w:val="24"/>
        </w:rPr>
        <w:t xml:space="preserve"> – </w:t>
      </w:r>
      <w:proofErr w:type="gramStart"/>
      <w:r w:rsidRPr="00A83DBE">
        <w:rPr>
          <w:bCs/>
          <w:i/>
          <w:iCs/>
          <w:szCs w:val="24"/>
        </w:rPr>
        <w:t>A</w:t>
      </w:r>
      <w:proofErr w:type="gramEnd"/>
      <w:r w:rsidRPr="00A83DBE">
        <w:rPr>
          <w:bCs/>
          <w:i/>
          <w:iCs/>
          <w:szCs w:val="24"/>
        </w:rPr>
        <w:t xml:space="preserve"> rendelet hatálya alá nem tartozó kézműves terméket előállító tevékenységek </w:t>
      </w:r>
    </w:p>
    <w:p w:rsidR="00A83DBE" w:rsidRPr="00A83DBE" w:rsidRDefault="00A83DBE" w:rsidP="00A83DBE">
      <w:pPr>
        <w:jc w:val="both"/>
        <w:rPr>
          <w:i/>
          <w:iCs/>
          <w:szCs w:val="24"/>
        </w:rPr>
      </w:pPr>
      <w:proofErr w:type="gramStart"/>
      <w:r w:rsidRPr="00A83DBE">
        <w:rPr>
          <w:i/>
          <w:iCs/>
          <w:szCs w:val="24"/>
        </w:rPr>
        <w:t xml:space="preserve">A) Nemzeti Kulturális Örökség Minisztere 12/2004. számú végrehajtási rendeletének mellékletében felsorolt </w:t>
      </w:r>
      <w:r w:rsidRPr="00A83DBE">
        <w:rPr>
          <w:bCs/>
          <w:i/>
          <w:iCs/>
          <w:szCs w:val="24"/>
        </w:rPr>
        <w:t>kézműves termékek</w:t>
      </w:r>
      <w:r w:rsidRPr="00A83DBE">
        <w:rPr>
          <w:i/>
          <w:iCs/>
          <w:szCs w:val="24"/>
        </w:rPr>
        <w:t xml:space="preserve">: bocskorkészítő, bognár, bőrműves, cserépkályha- és kemencekészítő, csipkekészítő, csizmadia, csuhéfonó, faműves, fafaragó, faszobrász, fazekas, festettbútor-készítő, fonottbútor-készítő, gyertyamártó, gyékényfonó, gyöngyfűző, halászháló-készítő, hímestojás-festő, hímző, kalapos, kádár, kékfestő, késes, kosárfonó, kovács, kötélverő, mézeskalács-készítő, nemezkészítő, népihangszer-készítő, népijáték-készítő, </w:t>
      </w:r>
      <w:proofErr w:type="spellStart"/>
      <w:r w:rsidRPr="00A83DBE">
        <w:rPr>
          <w:i/>
          <w:iCs/>
          <w:szCs w:val="24"/>
        </w:rPr>
        <w:t>népviseletibaba-készítő</w:t>
      </w:r>
      <w:proofErr w:type="spellEnd"/>
      <w:r w:rsidRPr="00A83DBE">
        <w:rPr>
          <w:i/>
          <w:iCs/>
          <w:szCs w:val="24"/>
        </w:rPr>
        <w:t>, népiékszer-készítő, papucskészítő, paszományos</w:t>
      </w:r>
      <w:proofErr w:type="gramEnd"/>
      <w:r w:rsidRPr="00A83DBE">
        <w:rPr>
          <w:i/>
          <w:iCs/>
          <w:szCs w:val="24"/>
        </w:rPr>
        <w:t xml:space="preserve"> </w:t>
      </w:r>
      <w:proofErr w:type="gramStart"/>
      <w:r w:rsidRPr="00A83DBE">
        <w:rPr>
          <w:i/>
          <w:iCs/>
          <w:szCs w:val="24"/>
        </w:rPr>
        <w:t>és</w:t>
      </w:r>
      <w:proofErr w:type="gramEnd"/>
      <w:r w:rsidRPr="00A83DBE">
        <w:rPr>
          <w:i/>
          <w:iCs/>
          <w:szCs w:val="24"/>
        </w:rPr>
        <w:t xml:space="preserve"> gombkötő, pintér, rézműves, szalmafonó, szíjgyártó-nyerges, szűcs, szűrrátét-készítő, szövő, viselet-készítő, tetőfedő: nádazó, fazsindely-, zsúptető-készítő.</w:t>
      </w:r>
    </w:p>
    <w:p w:rsidR="00A83DBE" w:rsidRPr="00A83DBE" w:rsidRDefault="00A83DBE" w:rsidP="00A83DBE">
      <w:pPr>
        <w:jc w:val="both"/>
        <w:rPr>
          <w:i/>
          <w:iCs/>
          <w:szCs w:val="24"/>
        </w:rPr>
      </w:pPr>
      <w:r w:rsidRPr="00A83DBE">
        <w:rPr>
          <w:i/>
          <w:iCs/>
          <w:szCs w:val="24"/>
        </w:rPr>
        <w:t xml:space="preserve">B) papírmerítő, tányérpingáló, háziszappan-készítő, intarzia-készítő, mézeskalács-készítő, kézművesélelmiszer-készítő, tűzzománc-készítő, kozmetikai- és </w:t>
      </w:r>
      <w:proofErr w:type="spellStart"/>
      <w:r w:rsidRPr="00A83DBE">
        <w:rPr>
          <w:i/>
          <w:iCs/>
          <w:szCs w:val="24"/>
        </w:rPr>
        <w:t>gyógynövényestermék-előállító</w:t>
      </w:r>
      <w:proofErr w:type="spellEnd"/>
      <w:r w:rsidRPr="00A83DBE">
        <w:rPr>
          <w:i/>
          <w:iCs/>
          <w:szCs w:val="24"/>
        </w:rPr>
        <w:t>.</w:t>
      </w:r>
    </w:p>
    <w:p w:rsidR="00A83DBE" w:rsidRPr="00A83DBE" w:rsidRDefault="00A83DBE" w:rsidP="00A83DBE">
      <w:pPr>
        <w:jc w:val="both"/>
        <w:rPr>
          <w:i/>
          <w:szCs w:val="24"/>
        </w:rPr>
      </w:pPr>
    </w:p>
    <w:p w:rsidR="00F719F8" w:rsidRPr="00A83DBE" w:rsidRDefault="00F719F8" w:rsidP="00796B93">
      <w:pPr>
        <w:jc w:val="both"/>
        <w:rPr>
          <w:szCs w:val="24"/>
        </w:rPr>
      </w:pPr>
    </w:p>
    <w:p w:rsidR="000423D6" w:rsidRPr="00A4383E" w:rsidRDefault="00713E5A" w:rsidP="00796B93">
      <w:pPr>
        <w:jc w:val="both"/>
        <w:rPr>
          <w:sz w:val="23"/>
          <w:szCs w:val="23"/>
        </w:rPr>
      </w:pPr>
      <w:r>
        <w:rPr>
          <w:sz w:val="23"/>
          <w:szCs w:val="23"/>
        </w:rPr>
        <w:t>2013</w:t>
      </w:r>
      <w:r w:rsidR="00323932">
        <w:rPr>
          <w:sz w:val="23"/>
          <w:szCs w:val="23"/>
        </w:rPr>
        <w:t xml:space="preserve">. </w:t>
      </w:r>
      <w:r>
        <w:rPr>
          <w:sz w:val="23"/>
          <w:szCs w:val="23"/>
        </w:rPr>
        <w:t>január 7.</w:t>
      </w:r>
    </w:p>
    <w:sectPr w:rsidR="000423D6" w:rsidRPr="00A4383E" w:rsidSect="00A4383E">
      <w:headerReference w:type="default" r:id="rId9"/>
      <w:footerReference w:type="default" r:id="rId10"/>
      <w:pgSz w:w="11906" w:h="16838"/>
      <w:pgMar w:top="1418" w:right="1134" w:bottom="1418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B9" w:rsidRDefault="00BD52B9">
      <w:r>
        <w:separator/>
      </w:r>
    </w:p>
  </w:endnote>
  <w:endnote w:type="continuationSeparator" w:id="0">
    <w:p w:rsidR="00BD52B9" w:rsidRDefault="00BD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67" w:rsidRDefault="00820B67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820B67" w:rsidRDefault="007C6234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</w:t>
    </w:r>
    <w:r w:rsidR="00820B67">
      <w:rPr>
        <w:rFonts w:ascii="Clarendon Condensed" w:hAnsi="Clarendon Condensed"/>
        <w:spacing w:val="40"/>
        <w:sz w:val="20"/>
      </w:rPr>
      <w:t xml:space="preserve"> Budapest, </w:t>
    </w:r>
    <w:r>
      <w:rPr>
        <w:rFonts w:ascii="Clarendon Condensed" w:hAnsi="Clarendon Condensed"/>
        <w:spacing w:val="40"/>
        <w:sz w:val="20"/>
      </w:rPr>
      <w:t>Kossuth tér 11.</w:t>
    </w:r>
  </w:p>
  <w:p w:rsidR="00820B67" w:rsidRDefault="007C6234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820B67" w:rsidRDefault="00820B67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Telefon: </w:t>
    </w:r>
    <w:r w:rsidR="007C6234">
      <w:rPr>
        <w:rFonts w:ascii="Clarendon Condensed" w:hAnsi="Clarendon Condensed"/>
        <w:spacing w:val="40"/>
        <w:sz w:val="20"/>
      </w:rPr>
      <w:t>1 – 79 51 063</w:t>
    </w:r>
    <w:r>
      <w:rPr>
        <w:rFonts w:ascii="Clarendon Condensed" w:hAnsi="Clarendon Condensed"/>
        <w:spacing w:val="40"/>
        <w:sz w:val="20"/>
      </w:rPr>
      <w:t xml:space="preserve">; </w:t>
    </w:r>
    <w:r w:rsidR="007C6234">
      <w:rPr>
        <w:rFonts w:ascii="Clarendon Condensed" w:hAnsi="Clarendon Condensed"/>
        <w:spacing w:val="40"/>
        <w:sz w:val="20"/>
      </w:rPr>
      <w:t>1 – 79 53 699</w:t>
    </w:r>
    <w:r>
      <w:rPr>
        <w:rFonts w:ascii="Clarendon Condensed" w:hAnsi="Clarendon Condensed"/>
        <w:spacing w:val="40"/>
        <w:sz w:val="20"/>
      </w:rPr>
      <w:t xml:space="preserve">. Fax: </w:t>
    </w:r>
    <w:r w:rsidR="007C6234">
      <w:rPr>
        <w:rFonts w:ascii="Clarendon Condensed" w:hAnsi="Clarendon Condensed"/>
        <w:spacing w:val="40"/>
        <w:sz w:val="20"/>
      </w:rPr>
      <w:t>1 – 79 50 429</w:t>
    </w:r>
  </w:p>
  <w:p w:rsidR="00820B67" w:rsidRDefault="00820B67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820B67" w:rsidRDefault="00820B67" w:rsidP="00F77403">
    <w:pPr>
      <w:pStyle w:val="llb"/>
      <w:jc w:val="center"/>
      <w:rPr>
        <w:rFonts w:ascii="Clarendon Condensed" w:hAnsi="Clarendon Condensed"/>
        <w:color w:val="FF0000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B9" w:rsidRDefault="00BD52B9">
      <w:r>
        <w:separator/>
      </w:r>
    </w:p>
  </w:footnote>
  <w:footnote w:type="continuationSeparator" w:id="0">
    <w:p w:rsidR="00BD52B9" w:rsidRDefault="00BD5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67" w:rsidRDefault="00820B67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8pt;height:80.5pt" o:ole="">
          <v:imagedata r:id="rId1" o:title=""/>
        </v:shape>
        <o:OLEObject Type="Embed" ProgID="MSPhotoEd.3" ShapeID="_x0000_i1025" DrawAspect="Content" ObjectID="_1442231681" r:id="rId2"/>
      </w:object>
    </w:r>
  </w:p>
  <w:p w:rsidR="00820B67" w:rsidRDefault="00820B67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C9E"/>
    <w:multiLevelType w:val="hybridMultilevel"/>
    <w:tmpl w:val="481021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F1305FD"/>
    <w:multiLevelType w:val="hybridMultilevel"/>
    <w:tmpl w:val="C6346C74"/>
    <w:lvl w:ilvl="0" w:tplc="240420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7F6"/>
    <w:rsid w:val="0003417F"/>
    <w:rsid w:val="000423D6"/>
    <w:rsid w:val="00075591"/>
    <w:rsid w:val="00080183"/>
    <w:rsid w:val="000A5E71"/>
    <w:rsid w:val="000A6D82"/>
    <w:rsid w:val="000D7677"/>
    <w:rsid w:val="000E2C5B"/>
    <w:rsid w:val="000F2CC9"/>
    <w:rsid w:val="001B1053"/>
    <w:rsid w:val="001C24E0"/>
    <w:rsid w:val="001D2AC7"/>
    <w:rsid w:val="001E05B6"/>
    <w:rsid w:val="001F0D40"/>
    <w:rsid w:val="00214B29"/>
    <w:rsid w:val="00221634"/>
    <w:rsid w:val="00230A6F"/>
    <w:rsid w:val="00275BF2"/>
    <w:rsid w:val="002A531F"/>
    <w:rsid w:val="002E2ADE"/>
    <w:rsid w:val="002F5B0E"/>
    <w:rsid w:val="00300EFF"/>
    <w:rsid w:val="00323932"/>
    <w:rsid w:val="003425B7"/>
    <w:rsid w:val="00362E2F"/>
    <w:rsid w:val="00396B6C"/>
    <w:rsid w:val="003B46F7"/>
    <w:rsid w:val="00431BB3"/>
    <w:rsid w:val="00464E1B"/>
    <w:rsid w:val="00473821"/>
    <w:rsid w:val="00496653"/>
    <w:rsid w:val="004E3049"/>
    <w:rsid w:val="004F1BA5"/>
    <w:rsid w:val="004F2071"/>
    <w:rsid w:val="004F2EA4"/>
    <w:rsid w:val="00520010"/>
    <w:rsid w:val="00525A56"/>
    <w:rsid w:val="00563552"/>
    <w:rsid w:val="00563632"/>
    <w:rsid w:val="00585762"/>
    <w:rsid w:val="005875AD"/>
    <w:rsid w:val="00594008"/>
    <w:rsid w:val="00597A62"/>
    <w:rsid w:val="005B6A72"/>
    <w:rsid w:val="005C5036"/>
    <w:rsid w:val="00603E26"/>
    <w:rsid w:val="006262B6"/>
    <w:rsid w:val="0065074F"/>
    <w:rsid w:val="00675DFF"/>
    <w:rsid w:val="006A559A"/>
    <w:rsid w:val="006D6CBB"/>
    <w:rsid w:val="006E0C38"/>
    <w:rsid w:val="007067D6"/>
    <w:rsid w:val="00713E5A"/>
    <w:rsid w:val="007359FE"/>
    <w:rsid w:val="007428D9"/>
    <w:rsid w:val="00796B93"/>
    <w:rsid w:val="007B0C42"/>
    <w:rsid w:val="007C6234"/>
    <w:rsid w:val="007E6C04"/>
    <w:rsid w:val="007F06CF"/>
    <w:rsid w:val="007F11DC"/>
    <w:rsid w:val="007F1897"/>
    <w:rsid w:val="00820B67"/>
    <w:rsid w:val="0082742C"/>
    <w:rsid w:val="00846191"/>
    <w:rsid w:val="0084769C"/>
    <w:rsid w:val="008F2494"/>
    <w:rsid w:val="00900077"/>
    <w:rsid w:val="009429E8"/>
    <w:rsid w:val="00956494"/>
    <w:rsid w:val="00960BC4"/>
    <w:rsid w:val="00A11588"/>
    <w:rsid w:val="00A20D14"/>
    <w:rsid w:val="00A4383E"/>
    <w:rsid w:val="00A812AF"/>
    <w:rsid w:val="00A819ED"/>
    <w:rsid w:val="00A83DBE"/>
    <w:rsid w:val="00AA6125"/>
    <w:rsid w:val="00AB643C"/>
    <w:rsid w:val="00AF06F5"/>
    <w:rsid w:val="00B02F68"/>
    <w:rsid w:val="00B4658C"/>
    <w:rsid w:val="00B72F9E"/>
    <w:rsid w:val="00BA6EDA"/>
    <w:rsid w:val="00BB22C8"/>
    <w:rsid w:val="00BD52B9"/>
    <w:rsid w:val="00BE6548"/>
    <w:rsid w:val="00D141BB"/>
    <w:rsid w:val="00D326FC"/>
    <w:rsid w:val="00DC2A55"/>
    <w:rsid w:val="00DC2CC4"/>
    <w:rsid w:val="00DE3B4E"/>
    <w:rsid w:val="00E548E1"/>
    <w:rsid w:val="00E56A74"/>
    <w:rsid w:val="00E76039"/>
    <w:rsid w:val="00EC3052"/>
    <w:rsid w:val="00EE38C9"/>
    <w:rsid w:val="00F03D4D"/>
    <w:rsid w:val="00F54FE4"/>
    <w:rsid w:val="00F719F8"/>
    <w:rsid w:val="00F77403"/>
    <w:rsid w:val="00F937F6"/>
    <w:rsid w:val="00FB3E0B"/>
    <w:rsid w:val="00FD4837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F54FE4"/>
    <w:rPr>
      <w:sz w:val="24"/>
    </w:rPr>
  </w:style>
  <w:style w:type="paragraph" w:styleId="Cmsor1">
    <w:name w:val="heading 1"/>
    <w:basedOn w:val="Norml"/>
    <w:next w:val="Norml"/>
    <w:qFormat/>
    <w:rsid w:val="00F54FE4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basedOn w:val="Norml"/>
    <w:next w:val="Norml"/>
    <w:qFormat/>
    <w:rsid w:val="00F54FE4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F54FE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54FE4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F54FE4"/>
    <w:rPr>
      <w:sz w:val="28"/>
    </w:rPr>
  </w:style>
  <w:style w:type="paragraph" w:styleId="Szvegtrzs2">
    <w:name w:val="Body Text 2"/>
    <w:basedOn w:val="Norml"/>
    <w:rsid w:val="00F54FE4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rsid w:val="00B72F9E"/>
    <w:rPr>
      <w:color w:val="0000FF"/>
      <w:u w:val="single"/>
    </w:rPr>
  </w:style>
  <w:style w:type="character" w:styleId="Jegyzethivatkozs">
    <w:name w:val="annotation reference"/>
    <w:semiHidden/>
    <w:rsid w:val="006D6CBB"/>
    <w:rPr>
      <w:sz w:val="16"/>
      <w:szCs w:val="16"/>
    </w:rPr>
  </w:style>
  <w:style w:type="paragraph" w:styleId="Jegyzetszveg">
    <w:name w:val="annotation text"/>
    <w:basedOn w:val="Norml"/>
    <w:semiHidden/>
    <w:rsid w:val="006D6CBB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6D6CBB"/>
    <w:rPr>
      <w:b/>
      <w:bCs/>
    </w:rPr>
  </w:style>
  <w:style w:type="paragraph" w:styleId="Lbjegyzetszveg">
    <w:name w:val="footnote text"/>
    <w:basedOn w:val="Norml"/>
    <w:link w:val="LbjegyzetszvegChar"/>
    <w:rsid w:val="005B6A7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5B6A72"/>
  </w:style>
  <w:style w:type="character" w:styleId="Lbjegyzet-hivatkozs">
    <w:name w:val="footnote reference"/>
    <w:rsid w:val="005B6A72"/>
    <w:rPr>
      <w:vertAlign w:val="superscript"/>
    </w:rPr>
  </w:style>
  <w:style w:type="paragraph" w:styleId="NormlWeb">
    <w:name w:val="Normal (Web)"/>
    <w:basedOn w:val="Norml"/>
    <w:rsid w:val="00713E5A"/>
    <w:pPr>
      <w:spacing w:before="100" w:beforeAutospacing="1" w:after="100" w:afterAutospacing="1"/>
    </w:pPr>
    <w:rPr>
      <w:rFonts w:eastAsia="Calibri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F683C-D787-416F-B25B-1BF5C22E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ŐRI István</vt:lpstr>
    </vt:vector>
  </TitlesOfParts>
  <Company>Környezetvédelmi Minisztérium</Company>
  <LinksUpToDate>false</LinksUpToDate>
  <CharactersWithSpaces>4692</CharactersWithSpaces>
  <SharedDoc>false</SharedDoc>
  <HLinks>
    <vt:vector size="12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http://www.ippc.hu/hazai_bat_utmutatok.htm</vt:lpwstr>
      </vt:variant>
      <vt:variant>
        <vt:lpwstr/>
      </vt:variant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Állásfoglalás</dc:title>
  <dc:creator>Bulla Mikós, Dr.</dc:creator>
  <cp:lastModifiedBy>LakatosL</cp:lastModifiedBy>
  <cp:revision>3</cp:revision>
  <cp:lastPrinted>2012-03-05T09:52:00Z</cp:lastPrinted>
  <dcterms:created xsi:type="dcterms:W3CDTF">2013-10-02T13:08:00Z</dcterms:created>
  <dcterms:modified xsi:type="dcterms:W3CDTF">2013-10-02T13:08:00Z</dcterms:modified>
</cp:coreProperties>
</file>