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FA" w:rsidRPr="000473C3" w:rsidRDefault="000473C3" w:rsidP="000473C3">
      <w:pPr>
        <w:pStyle w:val="NormlWeb"/>
        <w:spacing w:before="240" w:after="240"/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Az Országos Környezetvédelmi Tanács v</w:t>
      </w:r>
      <w:r w:rsidR="008103FA" w:rsidRPr="000473C3">
        <w:rPr>
          <w:b/>
          <w:bCs/>
          <w:sz w:val="28"/>
          <w:szCs w:val="28"/>
        </w:rPr>
        <w:t>élemény</w:t>
      </w:r>
      <w:r>
        <w:rPr>
          <w:b/>
          <w:bCs/>
          <w:sz w:val="28"/>
          <w:szCs w:val="28"/>
        </w:rPr>
        <w:t>e</w:t>
      </w:r>
      <w:r w:rsidR="008103FA" w:rsidRPr="000473C3">
        <w:rPr>
          <w:b/>
          <w:bCs/>
          <w:sz w:val="28"/>
          <w:szCs w:val="28"/>
        </w:rPr>
        <w:t xml:space="preserve"> a Hulladékgazdálkodással összefüggő végrehajtási rendelet tervezetekről</w:t>
      </w:r>
      <w:bookmarkEnd w:id="0"/>
    </w:p>
    <w:p w:rsidR="008103FA" w:rsidRDefault="008103FA" w:rsidP="008103FA">
      <w:pPr>
        <w:pStyle w:val="Jegyzetszveg"/>
        <w:jc w:val="both"/>
        <w:rPr>
          <w:sz w:val="24"/>
          <w:szCs w:val="24"/>
        </w:rPr>
      </w:pPr>
    </w:p>
    <w:p w:rsidR="00551F86" w:rsidRDefault="00551F86" w:rsidP="008103FA">
      <w:pPr>
        <w:pStyle w:val="Jegyzetszveg"/>
        <w:jc w:val="both"/>
        <w:rPr>
          <w:sz w:val="24"/>
          <w:szCs w:val="24"/>
        </w:rPr>
      </w:pPr>
    </w:p>
    <w:p w:rsidR="00551F86" w:rsidRDefault="00551F86" w:rsidP="008103FA">
      <w:pPr>
        <w:pStyle w:val="Jegyzetszveg"/>
        <w:jc w:val="both"/>
        <w:rPr>
          <w:sz w:val="24"/>
          <w:szCs w:val="24"/>
        </w:rPr>
      </w:pPr>
      <w:r>
        <w:rPr>
          <w:b/>
          <w:sz w:val="24"/>
          <w:szCs w:val="24"/>
        </w:rPr>
        <w:t>Általános vélemény</w:t>
      </w:r>
    </w:p>
    <w:p w:rsidR="00551F86" w:rsidRDefault="00551F86" w:rsidP="008103FA">
      <w:pPr>
        <w:pStyle w:val="Jegyzetszveg"/>
        <w:jc w:val="both"/>
        <w:rPr>
          <w:sz w:val="24"/>
          <w:szCs w:val="24"/>
        </w:rPr>
      </w:pPr>
    </w:p>
    <w:p w:rsidR="00551F86" w:rsidRDefault="00551F86" w:rsidP="008103FA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tervezetek egy részében – nagyon helyesen – a korábbi változatoktól eltérően részletesebb szabályok jelentek meg a közvetítő szervezetekkel kapcsolatban, amennyiben ezek nem az OHÜ hatáskörébe tartozó hulladékok hasznosítását végzik. </w:t>
      </w:r>
    </w:p>
    <w:p w:rsidR="00551F86" w:rsidRDefault="00551F86" w:rsidP="008103FA">
      <w:pPr>
        <w:pStyle w:val="Jegyzetszveg"/>
        <w:jc w:val="both"/>
        <w:rPr>
          <w:sz w:val="24"/>
          <w:szCs w:val="24"/>
        </w:rPr>
      </w:pPr>
    </w:p>
    <w:p w:rsidR="00551F86" w:rsidRDefault="00551F86" w:rsidP="00551F86">
      <w:pPr>
        <w:jc w:val="both"/>
        <w:rPr>
          <w:szCs w:val="24"/>
        </w:rPr>
      </w:pPr>
      <w:r w:rsidRPr="00551F86">
        <w:rPr>
          <w:szCs w:val="24"/>
        </w:rPr>
        <w:t>Tevékenységük jórészt szervezési</w:t>
      </w:r>
      <w:r>
        <w:rPr>
          <w:szCs w:val="24"/>
        </w:rPr>
        <w:t xml:space="preserve">, </w:t>
      </w:r>
      <w:r w:rsidRPr="00551F86">
        <w:rPr>
          <w:szCs w:val="24"/>
        </w:rPr>
        <w:t>jelentési</w:t>
      </w:r>
      <w:r>
        <w:rPr>
          <w:szCs w:val="24"/>
        </w:rPr>
        <w:t xml:space="preserve">, </w:t>
      </w:r>
      <w:r w:rsidRPr="00551F86">
        <w:rPr>
          <w:szCs w:val="24"/>
        </w:rPr>
        <w:t>adminisztrációs feladat, valójában a gyártók közös teljesítését hivatottak megszervezni és lekövetni.</w:t>
      </w:r>
      <w:r>
        <w:rPr>
          <w:szCs w:val="24"/>
        </w:rPr>
        <w:t xml:space="preserve"> Tevékenységüket azonban csak alaptőke megléte esetén végezhetik. "Átvevő</w:t>
      </w:r>
      <w:r w:rsidRPr="00551F86">
        <w:rPr>
          <w:szCs w:val="24"/>
        </w:rPr>
        <w:t>" viszont lehet bárki</w:t>
      </w:r>
      <w:r w:rsidR="00DA0561">
        <w:rPr>
          <w:szCs w:val="24"/>
        </w:rPr>
        <w:t>.</w:t>
      </w:r>
      <w:r w:rsidRPr="00551F86">
        <w:rPr>
          <w:szCs w:val="24"/>
        </w:rPr>
        <w:t xml:space="preserve"> Pedig az átvevő valós gazdasági tevékenységet végez, eszközökre és munkaerőre van szüksége</w:t>
      </w:r>
      <w:r>
        <w:rPr>
          <w:szCs w:val="24"/>
        </w:rPr>
        <w:t>, mégsem írnak</w:t>
      </w:r>
      <w:r w:rsidRPr="00551F86">
        <w:rPr>
          <w:szCs w:val="24"/>
        </w:rPr>
        <w:t xml:space="preserve"> elő számukra alaptőkét. Ez a megkü</w:t>
      </w:r>
      <w:r>
        <w:rPr>
          <w:szCs w:val="24"/>
        </w:rPr>
        <w:t xml:space="preserve">lönböztetés </w:t>
      </w:r>
      <w:r w:rsidR="00DC3A00">
        <w:rPr>
          <w:szCs w:val="24"/>
        </w:rPr>
        <w:t>sem gazdasági logikával, sem környezetvédelmi előnyökkel nem bír, ugyanakkor a gyártók terheit növeli, emellett jellemzően a kis hulladékáramok (</w:t>
      </w:r>
      <w:r w:rsidR="00DA0561">
        <w:rPr>
          <w:szCs w:val="24"/>
        </w:rPr>
        <w:t xml:space="preserve">pl. </w:t>
      </w:r>
      <w:r w:rsidR="00DC3A00">
        <w:rPr>
          <w:szCs w:val="24"/>
        </w:rPr>
        <w:t>fénycső,</w:t>
      </w:r>
      <w:r w:rsidR="00DA0561">
        <w:rPr>
          <w:szCs w:val="24"/>
        </w:rPr>
        <w:t xml:space="preserve"> hordozható elemek) közvetítőit érinti. </w:t>
      </w:r>
      <w:r>
        <w:rPr>
          <w:szCs w:val="24"/>
        </w:rPr>
        <w:t xml:space="preserve">Javasoljuk ennek a rendszernek az átgondolását. </w:t>
      </w:r>
    </w:p>
    <w:p w:rsidR="00551F86" w:rsidRDefault="00551F86" w:rsidP="00551F86">
      <w:pPr>
        <w:jc w:val="both"/>
        <w:rPr>
          <w:szCs w:val="24"/>
        </w:rPr>
      </w:pPr>
    </w:p>
    <w:p w:rsidR="00551F86" w:rsidRPr="00551F86" w:rsidRDefault="00DA0561" w:rsidP="00551F86">
      <w:pPr>
        <w:jc w:val="both"/>
        <w:rPr>
          <w:szCs w:val="24"/>
        </w:rPr>
      </w:pPr>
      <w:r>
        <w:rPr>
          <w:szCs w:val="24"/>
        </w:rPr>
        <w:t>A tervezetek a nyilvántartási és adatszolgáltatási előírások esetén nem törekednek az adminisztrációs terhek csökkentésére, esetenként kifejezetten növekszenek ezek a terhek a jelenleg hatályos szabályokhoz képest. Ez ellen</w:t>
      </w:r>
      <w:r w:rsidR="005D4550">
        <w:rPr>
          <w:szCs w:val="24"/>
        </w:rPr>
        <w:t xml:space="preserve">tétes </w:t>
      </w:r>
      <w:r>
        <w:rPr>
          <w:szCs w:val="24"/>
        </w:rPr>
        <w:t>a Kormány adminisztráció csökkentés érdekében tett</w:t>
      </w:r>
      <w:r w:rsidR="005D4550">
        <w:rPr>
          <w:szCs w:val="24"/>
        </w:rPr>
        <w:t xml:space="preserve"> – az „Egyszerű Állam” c. középtávú kormányzati programban meghírdetett -</w:t>
      </w:r>
      <w:r>
        <w:rPr>
          <w:szCs w:val="24"/>
        </w:rPr>
        <w:t xml:space="preserve"> erőfeszítései</w:t>
      </w:r>
      <w:r w:rsidR="005D4550">
        <w:rPr>
          <w:szCs w:val="24"/>
        </w:rPr>
        <w:t>vel</w:t>
      </w:r>
      <w:r>
        <w:rPr>
          <w:szCs w:val="24"/>
        </w:rPr>
        <w:t xml:space="preserve">, illetve újra termeli azt. Nagyon előre mutató, hogy a hatásvizsgálati lapon megjelent az adminisztrációra gyakorolt hatás elemzése, ám ezek a lapok rendre nem kerülnek kitöltésre, tehát csak formálisak. A Tanács javasolja a jogalkotónak, hogy </w:t>
      </w:r>
      <w:r w:rsidR="004A5738">
        <w:rPr>
          <w:szCs w:val="24"/>
        </w:rPr>
        <w:t>vizsgálja meg az egyes rendelet tervezetek esetén a begyűjtött adatok hasznosulását, tekintse át az egyes hatóságok adatgyűjtésének tartalmát, és szervezze meg az egyes adatok hatóságok közötti cseréjét.</w:t>
      </w:r>
    </w:p>
    <w:p w:rsidR="00551F86" w:rsidRDefault="00551F86" w:rsidP="008103FA">
      <w:pPr>
        <w:pStyle w:val="Jegyzetszveg"/>
        <w:jc w:val="both"/>
        <w:rPr>
          <w:sz w:val="24"/>
          <w:szCs w:val="24"/>
        </w:rPr>
      </w:pPr>
    </w:p>
    <w:p w:rsidR="00551F86" w:rsidRDefault="00551F86" w:rsidP="008103FA">
      <w:pPr>
        <w:pStyle w:val="Jegyzetszveg"/>
        <w:jc w:val="both"/>
        <w:rPr>
          <w:sz w:val="24"/>
          <w:szCs w:val="24"/>
        </w:rPr>
      </w:pPr>
    </w:p>
    <w:p w:rsidR="00402259" w:rsidRDefault="00402259" w:rsidP="00402259">
      <w:pPr>
        <w:jc w:val="center"/>
      </w:pPr>
      <w:r w:rsidRPr="000A0872">
        <w:rPr>
          <w:b/>
          <w:bCs/>
        </w:rPr>
        <w:t>A hulladékgazdálkodási tevékenységek nyilvántartásba vételéről, valamint hatósági engedélyezéséről szóló Kormányrendelet tervezet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tervezet az általunk megismert előző változathoz képest sokkal koherensebb szabályozást tartalmaz. Csupán egy hiányosságra hívjuk föl a figyelmet.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 w:rsidRPr="006D60C8">
        <w:rPr>
          <w:b/>
        </w:rPr>
        <w:t>3. §:</w:t>
      </w:r>
      <w:r>
        <w:t xml:space="preserve"> „</w:t>
      </w:r>
      <w:r w:rsidRPr="005C7690">
        <w:rPr>
          <w:rFonts w:ascii="Times" w:hAnsi="Times" w:cs="Times"/>
        </w:rPr>
        <w:t>A</w:t>
      </w:r>
      <w:r>
        <w:rPr>
          <w:rFonts w:ascii="Times" w:hAnsi="Times" w:cs="Times"/>
        </w:rPr>
        <w:t xml:space="preserve"> környezetvédelmi hatóság a nyilvántartásba vett közvetítőről és a kereskedőről a Hulladékgazdálkodási Információs Rendszerben (HIR) nyilvántartást vezet.” Ezzel </w:t>
      </w:r>
      <w:r>
        <w:rPr>
          <w:rFonts w:ascii="Times" w:hAnsi="Times" w:cs="Times"/>
        </w:rPr>
        <w:lastRenderedPageBreak/>
        <w:t>kapcsolatban megjegyezzük, hogy a HIR adatszolgáltatásra alkalmas informatikai eszköz, nincs olyan felülete, amely nyilvántartás vezetésére alkalmas.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402259" w:rsidP="00402259">
      <w:pPr>
        <w:jc w:val="center"/>
      </w:pPr>
      <w:r w:rsidRPr="000A0872">
        <w:rPr>
          <w:b/>
          <w:bCs/>
        </w:rPr>
        <w:t>A hulladékolajjal kapcsolatos hulladékgazdálkodási tevékenységek részletes szabályairól szóló VM rendelet tervezet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tervezet az általunk megismert előző változathoz képest sokkal koherensebb szabályozást tartalmaz. Nem kívánunk további véleményt hozzáfűzni.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402259" w:rsidP="00402259">
      <w:pPr>
        <w:jc w:val="center"/>
      </w:pPr>
      <w:r w:rsidRPr="000A0872">
        <w:rPr>
          <w:b/>
          <w:bCs/>
        </w:rPr>
        <w:t>A PCB, valamint a PCB-t tartalmazó berendezések kezelésének részletes szabályairól szóló VM rendelet tervezet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tervezet az általunk megismert előző változathoz képest sokkal koherensebb szabályozást tartalmaz. Nem kívánunk további véleményt hozzáfűzni.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402259" w:rsidP="00402259">
      <w:pPr>
        <w:jc w:val="center"/>
      </w:pPr>
      <w:r w:rsidRPr="000A0872">
        <w:rPr>
          <w:b/>
        </w:rPr>
        <w:t xml:space="preserve">A közszolgáltató hulladékgazdálkodási tevékenységéről és a hulladékgazdálkodási közszolgáltatás végzésének feltételeiről szóló </w:t>
      </w:r>
      <w:r w:rsidRPr="000A0872">
        <w:rPr>
          <w:b/>
          <w:bCs/>
        </w:rPr>
        <w:t>Kormányrendelet tervezet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tervezet az általunk megismert előző változathoz képest sokkal koherensebb szabályozást tartalmaz. Nem kívánunk további véleményt hozzáfűzni.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402259" w:rsidP="00402259">
      <w:pPr>
        <w:autoSpaceDE w:val="0"/>
        <w:autoSpaceDN w:val="0"/>
        <w:adjustRightInd w:val="0"/>
        <w:jc w:val="center"/>
      </w:pPr>
      <w:r w:rsidRPr="00866BB6">
        <w:rPr>
          <w:b/>
          <w:bCs/>
        </w:rPr>
        <w:t>Az elektromos és elektronikus berendezésekkel kapcsolatos hulladékgazdálkodási tevékenységekről szóló Kormányrendelet tervezet</w:t>
      </w:r>
    </w:p>
    <w:p w:rsidR="00402259" w:rsidRDefault="00402259" w:rsidP="00402259">
      <w:pPr>
        <w:jc w:val="both"/>
      </w:pPr>
    </w:p>
    <w:p w:rsidR="00402259" w:rsidRPr="001B3851" w:rsidRDefault="00402259" w:rsidP="00402259">
      <w:pPr>
        <w:jc w:val="both"/>
        <w:rPr>
          <w:b/>
        </w:rPr>
      </w:pPr>
      <w:r>
        <w:rPr>
          <w:b/>
        </w:rPr>
        <w:t>Általánosan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rendelet tervezet az előző változathoz képest sokat fejlődött és javult. A jogalkotó igyekezett kiküszöbölni az általunk fölvetett rendszer-hibákat. Örvendetes, hogy a Ktdt hatálya alá nem tartozó hulladékok esetében a közvetítő szervezetek létrehozásának lehetősége megjelent a normaszövegben.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Továbbra is problémának látjuk, hogy a Ktdt hatálya alá tartozó gyártók nem hozhatnak létre koordináló szervezetet az együttes teljesítés érdekében, ami ellenkezik </w:t>
      </w:r>
      <w:r w:rsidRPr="00BF42F4">
        <w:t>az elektromos és elektronik</w:t>
      </w:r>
      <w:r>
        <w:t>ai</w:t>
      </w:r>
      <w:r w:rsidRPr="00BF42F4">
        <w:t xml:space="preserve"> berendezések hulladékairól</w:t>
      </w:r>
      <w:r>
        <w:t xml:space="preserve"> szóló </w:t>
      </w:r>
      <w:r w:rsidRPr="0002622D">
        <w:t>2002/96/EK</w:t>
      </w:r>
      <w:r>
        <w:t xml:space="preserve"> irányelv 7</w:t>
      </w:r>
      <w:r w:rsidR="00FF4606">
        <w:t>.</w:t>
      </w:r>
      <w:r>
        <w:t xml:space="preserve"> cikkével. Javasoljuk a jogalkotónak az EU joganyaggal történő harmonizáció megteremtését, mivel tudomásunk szerint a Bizottság éppen ebben az ügyben már kötelezettségszegési eljárást kezdeményezett.</w:t>
      </w:r>
    </w:p>
    <w:p w:rsidR="00402259" w:rsidRDefault="00402259" w:rsidP="00402259">
      <w:pPr>
        <w:jc w:val="both"/>
      </w:pPr>
    </w:p>
    <w:p w:rsidR="000D4F12" w:rsidRDefault="000D4F12" w:rsidP="00402259">
      <w:pPr>
        <w:jc w:val="both"/>
        <w:rPr>
          <w:b/>
        </w:rPr>
      </w:pPr>
    </w:p>
    <w:p w:rsidR="00402259" w:rsidRPr="00DE4B96" w:rsidRDefault="00402259" w:rsidP="00402259">
      <w:pPr>
        <w:jc w:val="both"/>
        <w:rPr>
          <w:b/>
        </w:rPr>
      </w:pPr>
      <w:r>
        <w:rPr>
          <w:b/>
        </w:rPr>
        <w:lastRenderedPageBreak/>
        <w:t>Részletesen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A </w:t>
      </w:r>
      <w:r w:rsidRPr="00425019">
        <w:rPr>
          <w:b/>
        </w:rPr>
        <w:t>4. § (5)</w:t>
      </w:r>
      <w:r>
        <w:t xml:space="preserve"> pontja ellent mond a </w:t>
      </w:r>
      <w:r w:rsidRPr="00425019">
        <w:rPr>
          <w:b/>
        </w:rPr>
        <w:t>(2) b</w:t>
      </w:r>
      <w:r>
        <w:t xml:space="preserve"> pontnak. Az egyik szerint a gyártó a hulladékká vált</w:t>
      </w:r>
      <w:r w:rsidRPr="00CA750C">
        <w:t xml:space="preserve"> elektromos </w:t>
      </w:r>
      <w:r w:rsidRPr="003A1772">
        <w:rPr>
          <w:iCs/>
        </w:rPr>
        <w:t>és elektronikus</w:t>
      </w:r>
      <w:r w:rsidRPr="0027250D">
        <w:rPr>
          <w:i/>
          <w:iCs/>
        </w:rPr>
        <w:t xml:space="preserve"> </w:t>
      </w:r>
      <w:r>
        <w:t>berendezés</w:t>
      </w:r>
      <w:r w:rsidRPr="00CA750C">
        <w:t xml:space="preserve"> </w:t>
      </w:r>
      <w:r>
        <w:t>át</w:t>
      </w:r>
      <w:r w:rsidRPr="00CA750C">
        <w:t>vételét</w:t>
      </w:r>
      <w:r w:rsidRPr="001012F1">
        <w:t xml:space="preserve"> </w:t>
      </w:r>
      <w:r w:rsidRPr="00CA750C">
        <w:t>megtagadhatja,</w:t>
      </w:r>
      <w:r>
        <w:t xml:space="preserve"> ha </w:t>
      </w:r>
      <w:r w:rsidRPr="00CA750C">
        <w:t xml:space="preserve">az elektromos </w:t>
      </w:r>
      <w:r w:rsidRPr="003A1772">
        <w:rPr>
          <w:iCs/>
        </w:rPr>
        <w:t>és elektronikus</w:t>
      </w:r>
      <w:r w:rsidRPr="0027250D">
        <w:rPr>
          <w:i/>
          <w:iCs/>
        </w:rPr>
        <w:t xml:space="preserve"> </w:t>
      </w:r>
      <w:r w:rsidRPr="00CA750C">
        <w:t>berendezés</w:t>
      </w:r>
      <w:r>
        <w:t>ből az alapvető alkatrészek hiányoznak, a másik szerint pedig gyártónak a hulladékot abban</w:t>
      </w:r>
      <w:r w:rsidRPr="00CA750C">
        <w:t xml:space="preserve"> az </w:t>
      </w:r>
      <w:r>
        <w:t xml:space="preserve">esetben is át kell vennie, ha </w:t>
      </w:r>
      <w:r w:rsidRPr="00CA750C">
        <w:t>a</w:t>
      </w:r>
      <w:r>
        <w:t xml:space="preserve"> hulladékká vált</w:t>
      </w:r>
      <w:r w:rsidRPr="00CA750C">
        <w:t xml:space="preserve"> elektromos </w:t>
      </w:r>
      <w:r w:rsidRPr="003A1772">
        <w:rPr>
          <w:iCs/>
        </w:rPr>
        <w:t>és elektronikus</w:t>
      </w:r>
      <w:r w:rsidRPr="00CA750C">
        <w:t xml:space="preserve"> berendezés az elektromos </w:t>
      </w:r>
      <w:r w:rsidRPr="003A1772">
        <w:rPr>
          <w:iCs/>
        </w:rPr>
        <w:t>és elektronikus</w:t>
      </w:r>
      <w:r w:rsidRPr="00CA750C">
        <w:t xml:space="preserve"> berendezésre jellemző alapvető alkotórészeket</w:t>
      </w:r>
      <w:r w:rsidRPr="000218CF">
        <w:t xml:space="preserve"> </w:t>
      </w:r>
      <w:r w:rsidRPr="00CA750C">
        <w:t xml:space="preserve">nem tartalmazza, azonban a </w:t>
      </w:r>
      <w:r>
        <w:t xml:space="preserve">hulladékbirtokostól </w:t>
      </w:r>
      <w:r w:rsidRPr="00CA750C">
        <w:t>a kezelés költségeivel arányos</w:t>
      </w:r>
      <w:r>
        <w:t>an</w:t>
      </w:r>
      <w:r w:rsidRPr="00CA750C">
        <w:t xml:space="preserve"> díjat </w:t>
      </w:r>
      <w:r>
        <w:t>kérhet</w:t>
      </w:r>
      <w:r w:rsidRPr="00CA750C">
        <w:t>.</w:t>
      </w:r>
      <w:r>
        <w:t xml:space="preserve"> Felvetődik a kérdés, mi történik akkor, ha a birtokos nem akar díjat fizetni? Talán célszerű lenne előírni, hogy ebben az esetben az átvevőnek föl kell hívnia a birtokos figyelmét arra, hogy a berendezés illegális elhelyezése jogszabály ellenes, és az át nem vett hulladékot valamely hulladékudvarban térítés-mentesen leadhatja.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 w:rsidRPr="000C1483">
        <w:rPr>
          <w:b/>
        </w:rPr>
        <w:t>14. §:</w:t>
      </w:r>
      <w:r w:rsidRPr="006C2A70">
        <w:t xml:space="preserve"> a biztosíték adás feltételei nem egyértelműek. Az (1) bekezdésben nem érthető, mit ért a jogalkotó a gyártó rekultivációs </w:t>
      </w:r>
      <w:r>
        <w:t xml:space="preserve">és </w:t>
      </w:r>
      <w:r w:rsidRPr="004F4E17">
        <w:t>havária-elhárításra</w:t>
      </w:r>
      <w:r>
        <w:t xml:space="preserve"> vonatkozó </w:t>
      </w:r>
      <w:r w:rsidRPr="006C2A70">
        <w:t xml:space="preserve">kötelezettségén? </w:t>
      </w:r>
      <w:r>
        <w:t xml:space="preserve">A gyártó </w:t>
      </w:r>
      <w:r w:rsidRPr="006C2A70">
        <w:t xml:space="preserve">rekultivációs </w:t>
      </w:r>
      <w:r>
        <w:t xml:space="preserve">és </w:t>
      </w:r>
      <w:r w:rsidRPr="004F4E17">
        <w:t>havária-elhárításra</w:t>
      </w:r>
      <w:r>
        <w:t xml:space="preserve"> vonatkozó kötelezettségét más jogszabályok határozzák meg, amelyeknek nincs köze a hulladékgazdálkodással kapcsolatos kötelezettségekhez. Az ipari kibocsá</w:t>
      </w:r>
      <w:r w:rsidRPr="006C2A70">
        <w:t>tásokról szóló 2010/75/EU</w:t>
      </w:r>
      <w:r>
        <w:t xml:space="preserve"> irányelv 22. cikk (1) szakasza az IPPC engedély köteles gyártók esetén a tevékenység felhagyásával kapcsolatban következőket határozza meg: </w:t>
      </w:r>
    </w:p>
    <w:p w:rsidR="00402259" w:rsidRDefault="00402259" w:rsidP="00402259">
      <w:pPr>
        <w:jc w:val="both"/>
      </w:pPr>
      <w:r>
        <w:t xml:space="preserve">„Az illetékes hatóság olyan feltételeket köteles meghatározni az engedélyben, amelyek a tevékenység végleges leállítása esetén biztosítják …. hogy alapállapot-jelentésben rögzített állapothoz viszonyítva a létesítmény a szóban forgó veszélyes anyagok kibocsátásával jelentős mértékű szennyezést okozott a talajban vagy a felszín alatti vizekben, az üzemeltető ezen állapot helyreállítása érdekében megteszi a szennyeződés kezeléséhez szükséges intézkedéseket.” Mivel ennek az irányelvnek a jogharmonizációját 2013. január 16-ig végre kell hajtani, nézetünk szerint ez kezelni fogja a gyártó rekultivációs és </w:t>
      </w:r>
      <w:r w:rsidRPr="004F4E17">
        <w:t>havária-elhárításra</w:t>
      </w:r>
      <w:r>
        <w:t xml:space="preserve"> vonatkozó kötelezettségeinek biztosítékkal való fedezetét. </w:t>
      </w:r>
    </w:p>
    <w:p w:rsidR="00402259" w:rsidRDefault="00402259" w:rsidP="00402259">
      <w:pPr>
        <w:jc w:val="both"/>
      </w:pPr>
    </w:p>
    <w:p w:rsidR="00402259" w:rsidRPr="006C2A70" w:rsidRDefault="00402259" w:rsidP="00402259">
      <w:pPr>
        <w:jc w:val="both"/>
      </w:pPr>
      <w:r>
        <w:t xml:space="preserve">A másik problémás pont a 14. § (4), amely szerint a gyártónak </w:t>
      </w:r>
      <w:r w:rsidRPr="00CA750C">
        <w:t xml:space="preserve">a tárgyévre vonatkozó </w:t>
      </w:r>
      <w:r>
        <w:t xml:space="preserve">vagyoni </w:t>
      </w:r>
      <w:r w:rsidRPr="00CA750C">
        <w:t xml:space="preserve">biztosítékot </w:t>
      </w:r>
      <w:r>
        <w:t xml:space="preserve">kell </w:t>
      </w:r>
      <w:r w:rsidRPr="00CA750C">
        <w:t>képezni</w:t>
      </w:r>
      <w:r>
        <w:t>e</w:t>
      </w:r>
      <w:r w:rsidRPr="00CA750C">
        <w:t>.</w:t>
      </w:r>
      <w:r>
        <w:t xml:space="preserve"> Véleményünk szerint egy, a hulladékgazdálkodásra vonatkozó jogszabály nem rendelkezhet a gyártó vagyoni biztosítékáról, az kizárólag a hulladékgazdálkodás biztonságos lebonyolítása érdekében szabhat pénzügyi feltételeket. Ezt támasztja alá az is, hogy az 5. mellékletben a biztosíték-adás mértékére vonatkozó számítási modell – helyesen - kizárólag a </w:t>
      </w:r>
      <w:r w:rsidRPr="00CA750C">
        <w:t xml:space="preserve">gyártott, illetve importált háztartási </w:t>
      </w:r>
      <w:r w:rsidRPr="0063701A">
        <w:rPr>
          <w:iCs/>
        </w:rPr>
        <w:t>elektromos</w:t>
      </w:r>
      <w:r w:rsidRPr="00CA750C">
        <w:t xml:space="preserve"> berendezések berendezés-kategóriánkénti mennyisége</w:t>
      </w:r>
      <w:r>
        <w:t xml:space="preserve"> alapján számol. Tehát a 14. § szövege nincs összhangban az 5. mellékletben alkalmazott számítási modell egyes paramétereivel, hiszen az alkalmazott képlet sem haváriára, sem rekultivációra, sem vagyoni biztosítékra nem utal. Ebből következően javasoljuk a 14. § szövegének átdolgozását.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 w:rsidRPr="00425019">
        <w:rPr>
          <w:b/>
        </w:rPr>
        <w:lastRenderedPageBreak/>
        <w:t>11. § (8):</w:t>
      </w:r>
      <w:r>
        <w:t xml:space="preserve"> Az a tény, hogy kizárólag a Ktdt hatálya alá tartozó kötelezettek tekintetében csak az egyéni hulladékkezelést választóknak kell biztosítékot képezni, diszkriminatív az egyéni teljesítők kárára, tovább gyengítve a gyártók környezetvédelem iránti felelősségvállalását.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 w:rsidRPr="00425019">
        <w:rPr>
          <w:b/>
        </w:rPr>
        <w:t>21. §:</w:t>
      </w:r>
      <w:r>
        <w:t xml:space="preserve"> Ez a rendelkezés ellenkezik a hulladékszállításról szóló 1013/2006/EK rendelettel, miszerint veszélyes hulladék kizárólag a veszélyes hulladékokra vonatkozó feltételekkel szállítható. Ezért véleményünk szerint nem engedhető meg az </w:t>
      </w:r>
      <w:r w:rsidRPr="00CA750C">
        <w:t xml:space="preserve">elektromos </w:t>
      </w:r>
      <w:r w:rsidRPr="003A1772">
        <w:rPr>
          <w:iCs/>
        </w:rPr>
        <w:t>és elektronikus</w:t>
      </w:r>
      <w:r w:rsidRPr="00CA750C">
        <w:t xml:space="preserve"> berendezés</w:t>
      </w:r>
      <w:r>
        <w:t>ek nem veszélyes hulladékként történő szállítása.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402259" w:rsidP="00402259">
      <w:pPr>
        <w:jc w:val="center"/>
      </w:pPr>
      <w:r w:rsidRPr="00866BB6">
        <w:rPr>
          <w:b/>
          <w:bCs/>
          <w:color w:val="222222"/>
        </w:rPr>
        <w:t xml:space="preserve">Az elem- és akkumulátorhulladékkal kapcsolatos hulladékgazdálkodási tevékenységekről szóló </w:t>
      </w:r>
      <w:r w:rsidRPr="00866BB6">
        <w:rPr>
          <w:b/>
          <w:bCs/>
        </w:rPr>
        <w:t>Kormányrendelet tervezet</w:t>
      </w:r>
    </w:p>
    <w:p w:rsidR="00402259" w:rsidRDefault="00402259" w:rsidP="00402259">
      <w:pPr>
        <w:jc w:val="both"/>
      </w:pPr>
    </w:p>
    <w:p w:rsidR="00402259" w:rsidRPr="0052283A" w:rsidRDefault="00402259" w:rsidP="00402259">
      <w:pPr>
        <w:jc w:val="both"/>
        <w:rPr>
          <w:b/>
        </w:rPr>
      </w:pPr>
      <w:r>
        <w:rPr>
          <w:b/>
        </w:rPr>
        <w:t>Általánosan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A tervezetben továbbra is jelentkezik olykor a Ktdt hatálya alá tartozó kötelezettek adminisztrációjának fölösleges növelése. Például, a NAV-hoz benyújtandó nyilvántartásba vételt pl. meg kell ismételni a Főfelügyelőség felé, vagy az ellenőrzés tekintetében az OHÜ-n keresztül teljesítőket a NAV és a felügyelőség is ellenőrzi. Javasoljuk ezek kiküszöbölését. Lásd: </w:t>
      </w:r>
      <w:r>
        <w:rPr>
          <w:color w:val="222222"/>
        </w:rPr>
        <w:t xml:space="preserve">Termékdíj törvény 29. § (1): </w:t>
      </w:r>
      <w:r w:rsidRPr="00434804">
        <w:rPr>
          <w:color w:val="222222"/>
        </w:rPr>
        <w:t>A vámhatóság az OHÜ által finanszírozott hulladékhasznosítási szolgáltatások körébe tartozó ügyletek tényleges megvalósulását, illetve azok végrehajtásának szabályszerűségét ellenőrzi</w:t>
      </w:r>
      <w:r>
        <w:rPr>
          <w:color w:val="222222"/>
        </w:rPr>
        <w:t>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Az 5. § (1) rendelkezés szerint „a </w:t>
      </w:r>
      <w:r w:rsidRPr="00D523F5">
        <w:rPr>
          <w:color w:val="222222"/>
        </w:rPr>
        <w:t xml:space="preserve">gyártó </w:t>
      </w:r>
      <w:r>
        <w:rPr>
          <w:color w:val="222222"/>
        </w:rPr>
        <w:t xml:space="preserve">gondoskodik arról, </w:t>
      </w:r>
      <w:r w:rsidRPr="00FF6410">
        <w:t xml:space="preserve">hogy a </w:t>
      </w:r>
      <w:bookmarkStart w:id="1" w:name="pr32"/>
      <w:bookmarkEnd w:id="1"/>
      <w:r w:rsidRPr="00FF6410">
        <w:t xml:space="preserve">hordozható elemből, illetve akkumulátorból származó hulladék elkülönített gyűjtése céljából azokon a településeken, ahol a lakosság száma a 100 főt meghaladja, legalább 1 </w:t>
      </w:r>
      <w:r>
        <w:t xml:space="preserve">speciális </w:t>
      </w:r>
      <w:r w:rsidRPr="00FF6410">
        <w:t>gyűjtőhely</w:t>
      </w:r>
      <w:r>
        <w:rPr>
          <w:color w:val="222222"/>
        </w:rPr>
        <w:t xml:space="preserve"> a lakosság rendelkezésére</w:t>
      </w:r>
      <w:r w:rsidRPr="00B5278B">
        <w:rPr>
          <w:color w:val="222222"/>
        </w:rPr>
        <w:t xml:space="preserve"> </w:t>
      </w:r>
      <w:r>
        <w:rPr>
          <w:color w:val="222222"/>
        </w:rPr>
        <w:t xml:space="preserve">álljon”. Javasoljuk ezt fölülvizsgálni olyan tekintetben, hogy keletkezik-e annyi hulladék egy ilyen kistelepülésen, amelynek rendszeres gyűjtő járattal való kiszolgálása környezetvédelmi szempontból előnyösebb, mint ha ezeknek a hulladékoknak az összegyűjtése például a közszolgáltatás része lenne. 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402259" w:rsidP="00402259">
      <w:pPr>
        <w:jc w:val="center"/>
      </w:pPr>
      <w:r>
        <w:rPr>
          <w:b/>
          <w:bCs/>
        </w:rPr>
        <w:t>A</w:t>
      </w:r>
      <w:r w:rsidRPr="00815197">
        <w:rPr>
          <w:b/>
          <w:bCs/>
        </w:rPr>
        <w:t xml:space="preserve"> csomagolásról és a csomagolási hulladék</w:t>
      </w:r>
      <w:r>
        <w:rPr>
          <w:b/>
          <w:bCs/>
        </w:rPr>
        <w:t>kal kapcsolatos hulladékgazdálkodási tevékenységekről szóló Kormányrendelet tervezet</w:t>
      </w:r>
    </w:p>
    <w:p w:rsidR="00402259" w:rsidRDefault="00402259" w:rsidP="00402259">
      <w:pPr>
        <w:jc w:val="both"/>
      </w:pPr>
    </w:p>
    <w:p w:rsidR="00402259" w:rsidRPr="001B3851" w:rsidRDefault="00402259" w:rsidP="00402259">
      <w:pPr>
        <w:jc w:val="both"/>
        <w:rPr>
          <w:b/>
        </w:rPr>
      </w:pPr>
      <w:r>
        <w:rPr>
          <w:b/>
        </w:rPr>
        <w:t>Általánosan</w:t>
      </w:r>
    </w:p>
    <w:p w:rsidR="00402259" w:rsidRPr="007F4479" w:rsidRDefault="00402259" w:rsidP="00402259">
      <w:pPr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tervezet a korábban észrevételezett </w:t>
      </w:r>
      <w:r w:rsidRPr="007F4479">
        <w:rPr>
          <w:i/>
        </w:rPr>
        <w:t>definíciók</w:t>
      </w:r>
      <w:r w:rsidRPr="007F4479">
        <w:t xml:space="preserve"> szövegközi</w:t>
      </w:r>
      <w:r w:rsidRPr="007F4479">
        <w:rPr>
          <w:i/>
        </w:rPr>
        <w:t xml:space="preserve"> </w:t>
      </w:r>
      <w:r w:rsidRPr="007F4479">
        <w:t>használatát</w:t>
      </w:r>
      <w:r w:rsidRPr="007F4479">
        <w:rPr>
          <w:i/>
        </w:rPr>
        <w:t xml:space="preserve"> </w:t>
      </w:r>
      <w:r w:rsidRPr="007F4479">
        <w:t xml:space="preserve">nem pontosította, hanem a kifogásoltakat egyszerűen elhagyta. Így kikerült a tervezetből a </w:t>
      </w:r>
      <w:r w:rsidRPr="007F4479">
        <w:rPr>
          <w:i/>
        </w:rPr>
        <w:t>gyártó</w:t>
      </w:r>
      <w:r w:rsidRPr="007F4479">
        <w:t xml:space="preserve"> és a </w:t>
      </w:r>
      <w:r w:rsidRPr="007F4479">
        <w:rPr>
          <w:i/>
        </w:rPr>
        <w:t>csomagolás létrehozója</w:t>
      </w:r>
      <w:r w:rsidRPr="007F4479">
        <w:t xml:space="preserve"> fogalma. Valójában egy csomagolási rendeletben a </w:t>
      </w:r>
      <w:r w:rsidRPr="007F4479">
        <w:rPr>
          <w:i/>
        </w:rPr>
        <w:t xml:space="preserve">gyártó azonos kell </w:t>
      </w:r>
      <w:r w:rsidRPr="007F4479">
        <w:rPr>
          <w:i/>
        </w:rPr>
        <w:lastRenderedPageBreak/>
        <w:t>legyen a csomagolás előállítójával.</w:t>
      </w:r>
      <w:r w:rsidRPr="007F4479">
        <w:t xml:space="preserve"> Ha mindenképpen szükséges további „gyártó”, azt </w:t>
      </w:r>
      <w:r w:rsidRPr="007F4479">
        <w:rPr>
          <w:i/>
        </w:rPr>
        <w:t>csomagolószer-gyártó</w:t>
      </w:r>
      <w:r w:rsidRPr="007F4479">
        <w:t xml:space="preserve"> megnevezéssel kell illetni. Ez világos különbséget takar. </w:t>
      </w:r>
    </w:p>
    <w:p w:rsidR="0040225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Így például a </w:t>
      </w:r>
      <w:r w:rsidRPr="007F4479">
        <w:rPr>
          <w:i/>
        </w:rPr>
        <w:t>lényegi követelmények</w:t>
      </w:r>
      <w:r w:rsidRPr="007F4479">
        <w:t xml:space="preserve"> között egyértelműen a gyártó (csomagoló) feladata az anyagtakarékos csomagolás megválasztása, az újrahasználat lehetőségének mérlegelése és a hasznosíthatósági forma meghatározása. Ezzel szemben a csomagolószer-gyártó az, aki a csomagolóanyag anyagösszetételéről, így a nehézfém, illetőleg a környezetre veszélyes anyagtartalmáról nyilatkozni tud, hiszen ez az ő hatás- és feladatköre.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>Határozott álláspontunk szerint tehát jelen kormányrendeletnek a csomagolásra, illetve a csomagolást előállítók kötelezettségeire kellene koncentrálnia, hiszen az azonos címet viselő európai uniós irányelv is a csomagolási tevékenységet végzők számára határoz meg kötelezettségeket.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i/>
        </w:rPr>
        <w:t>csomagolás</w:t>
      </w:r>
      <w:r w:rsidRPr="007F4479">
        <w:t xml:space="preserve"> meghatározása – amely azonos a termékdíj törvény módosítására tett javaslat változatával – kevésbé szabatos és jelentősen eltér az uniós csomagolási irányelvben, illetve az ahhoz harmonizált EN 14182 szabványban foglalttól. </w:t>
      </w:r>
      <w:r>
        <w:t xml:space="preserve"> </w:t>
      </w:r>
      <w:r w:rsidRPr="007F4479">
        <w:t>E helyütt is javasoljuk az uniós csomagolási irányelv szövegének átvételét.</w:t>
      </w:r>
    </w:p>
    <w:p w:rsidR="00402259" w:rsidRPr="007F4479" w:rsidRDefault="00402259" w:rsidP="00402259">
      <w:pPr>
        <w:spacing w:line="276" w:lineRule="auto"/>
        <w:jc w:val="both"/>
        <w:rPr>
          <w:b/>
        </w:rPr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Hiányoljuk a definíciók közül a jogszabálytervezet által használt </w:t>
      </w:r>
      <w:r w:rsidRPr="007F4479">
        <w:rPr>
          <w:i/>
        </w:rPr>
        <w:t>csomagolási összetevő</w:t>
      </w:r>
      <w:r w:rsidRPr="007F4479">
        <w:t xml:space="preserve"> és </w:t>
      </w:r>
      <w:r w:rsidRPr="007F4479">
        <w:rPr>
          <w:i/>
        </w:rPr>
        <w:t>csomagolási alkotóelem</w:t>
      </w:r>
      <w:r w:rsidRPr="007F4479">
        <w:t xml:space="preserve"> meghatározásokat, amelyek egyébként irányelvből eredő kifejezések.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  <w:rPr>
          <w:b/>
        </w:rPr>
      </w:pPr>
      <w:r w:rsidRPr="007F4479">
        <w:rPr>
          <w:b/>
        </w:rPr>
        <w:t>Részletesen:</w:t>
      </w:r>
    </w:p>
    <w:p w:rsidR="00402259" w:rsidRPr="007F4479" w:rsidRDefault="00402259" w:rsidP="00402259">
      <w:pPr>
        <w:spacing w:line="276" w:lineRule="auto"/>
        <w:jc w:val="both"/>
        <w:rPr>
          <w:b/>
        </w:rPr>
      </w:pPr>
      <w:r w:rsidRPr="007F4479">
        <w:t xml:space="preserve">Az </w:t>
      </w:r>
      <w:r w:rsidRPr="007F4479">
        <w:rPr>
          <w:b/>
        </w:rPr>
        <w:t>I. 3</w:t>
      </w:r>
      <w:r w:rsidRPr="007F4479">
        <w:t xml:space="preserve">. pontban javasolt fogalmak a tervezet </w:t>
      </w:r>
      <w:r w:rsidRPr="007F4479">
        <w:rPr>
          <w:b/>
        </w:rPr>
        <w:t>2. §-</w:t>
      </w:r>
      <w:r>
        <w:rPr>
          <w:b/>
        </w:rPr>
        <w:t>á</w:t>
      </w:r>
      <w:r w:rsidRPr="007F4479">
        <w:rPr>
          <w:b/>
        </w:rPr>
        <w:t>hoz</w:t>
      </w:r>
      <w:r w:rsidRPr="007F4479">
        <w:t>:</w:t>
      </w:r>
    </w:p>
    <w:p w:rsidR="00402259" w:rsidRPr="007F4479" w:rsidRDefault="00402259" w:rsidP="00402259">
      <w:pPr>
        <w:spacing w:line="276" w:lineRule="auto"/>
        <w:jc w:val="both"/>
      </w:pPr>
      <w:r w:rsidRPr="007F4479">
        <w:rPr>
          <w:i/>
        </w:rPr>
        <w:t>Csomagolás alkotóeleme (packaging constituent)</w:t>
      </w:r>
      <w:r>
        <w:rPr>
          <w:i/>
        </w:rPr>
        <w:t>: „</w:t>
      </w:r>
      <w:r w:rsidRPr="007F4479">
        <w:t>Olyan alkotórész, amiből a csomagolás vagy a csomagolás-összetevő készül, és amely kézzel vagy egyszerű mechanikai eszközzel attól nem választható el.</w:t>
      </w:r>
      <w:r>
        <w:t>”</w:t>
      </w:r>
    </w:p>
    <w:p w:rsidR="00402259" w:rsidRPr="007F4479" w:rsidRDefault="00402259" w:rsidP="00402259">
      <w:pPr>
        <w:spacing w:line="276" w:lineRule="auto"/>
        <w:jc w:val="both"/>
      </w:pPr>
      <w:r w:rsidRPr="007F4479">
        <w:rPr>
          <w:i/>
        </w:rPr>
        <w:t>Csomagolás-összetevő (packaging component)</w:t>
      </w:r>
      <w:r>
        <w:rPr>
          <w:i/>
        </w:rPr>
        <w:t>: „</w:t>
      </w:r>
      <w:r w:rsidRPr="007F4479">
        <w:t>A csomagolás olyan része, amely kézzel vagy egyszerű mechanikai eszközzel attól elválasztható.</w:t>
      </w:r>
      <w:r>
        <w:t>”</w:t>
      </w:r>
    </w:p>
    <w:p w:rsidR="00402259" w:rsidRPr="007F4479" w:rsidRDefault="00402259" w:rsidP="00402259">
      <w:pPr>
        <w:spacing w:line="276" w:lineRule="auto"/>
        <w:jc w:val="both"/>
        <w:rPr>
          <w:b/>
        </w:rPr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b/>
        </w:rPr>
        <w:t>3. § (3)</w:t>
      </w:r>
      <w:r w:rsidRPr="007F4479">
        <w:t xml:space="preserve"> pont megfogalmazása nehezen érthető, javítására vonatkozó javaslatunk a következő:</w:t>
      </w:r>
    </w:p>
    <w:p w:rsidR="00402259" w:rsidRPr="007F4479" w:rsidRDefault="00402259" w:rsidP="00402259">
      <w:pPr>
        <w:spacing w:line="276" w:lineRule="auto"/>
        <w:jc w:val="both"/>
        <w:rPr>
          <w:i/>
        </w:rPr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(3) Ha a műanyag rekesz, illetve raklap, javításra vagy a csomagolási hulladékká vált műanyag rekesz, illetve raklap újrafeldolgozásra kerül, az (1) bekezdés szerinti tilalom nem áll fenn akkor, ha a </w:t>
      </w:r>
      <w:r w:rsidRPr="007F4479">
        <w:rPr>
          <w:strike/>
        </w:rPr>
        <w:t>javítás vagy újrafeldolgozás céljából felhasznált egyéb</w:t>
      </w:r>
      <w:r w:rsidRPr="007F4479">
        <w:t xml:space="preserve">  </w:t>
      </w:r>
      <w:r w:rsidRPr="007F4479">
        <w:rPr>
          <w:u w:val="single"/>
        </w:rPr>
        <w:t xml:space="preserve">javításból, vagy </w:t>
      </w:r>
      <w:r w:rsidRPr="007F4479">
        <w:rPr>
          <w:u w:val="single"/>
        </w:rPr>
        <w:lastRenderedPageBreak/>
        <w:t xml:space="preserve">újrafelhasználásból származó </w:t>
      </w:r>
      <w:r w:rsidRPr="007F4479">
        <w:t xml:space="preserve"> anyag műszakilag szükséges mértékben válik a megjavított vagy újrafeldolgozott műanyag rekesz vagy raklap részévé, de a megjavított vagy újrafeldolgozott műanyag rekesz, illetve raklap tömegének 20%-át nem haladja meg</w:t>
      </w:r>
      <w:r>
        <w:t>,</w:t>
      </w:r>
      <w:r w:rsidRPr="007F4479">
        <w:t xml:space="preserve"> és nehézfém szándékos hozzáadására nem kerül sor.</w:t>
      </w:r>
    </w:p>
    <w:p w:rsidR="00402259" w:rsidRDefault="00402259" w:rsidP="00402259">
      <w:pPr>
        <w:spacing w:line="276" w:lineRule="auto"/>
        <w:jc w:val="both"/>
      </w:pPr>
    </w:p>
    <w:p w:rsidR="00402259" w:rsidRPr="00735C02" w:rsidRDefault="00402259" w:rsidP="00402259">
      <w:pPr>
        <w:jc w:val="both"/>
      </w:pPr>
      <w:r w:rsidRPr="00735C02">
        <w:rPr>
          <w:b/>
        </w:rPr>
        <w:t>4.</w:t>
      </w:r>
      <w:r>
        <w:rPr>
          <w:b/>
        </w:rPr>
        <w:t xml:space="preserve"> </w:t>
      </w:r>
      <w:r w:rsidRPr="00735C02">
        <w:rPr>
          <w:b/>
        </w:rPr>
        <w:t>§:</w:t>
      </w:r>
      <w:r>
        <w:t xml:space="preserve"> </w:t>
      </w:r>
      <w:r w:rsidRPr="00735C02">
        <w:t>Amennyiben a gyártó a csomagolószer gyártój</w:t>
      </w:r>
      <w:r>
        <w:t>a, csak az adott csomagolószer (csomagolási összetevő)</w:t>
      </w:r>
      <w:r w:rsidRPr="00735C02">
        <w:t xml:space="preserve"> hulladékának kezelési módjáról tud nyi</w:t>
      </w:r>
      <w:r>
        <w:t>latkozni, a csomagoláséról nem (</w:t>
      </w:r>
      <w:r w:rsidRPr="00735C02">
        <w:t>ld.</w:t>
      </w:r>
      <w:r>
        <w:t xml:space="preserve"> </w:t>
      </w:r>
      <w:r w:rsidRPr="00735C02">
        <w:t xml:space="preserve">összetett több anyagot és segédanyagot </w:t>
      </w:r>
      <w:r>
        <w:t>tartalmazó csomagolások)</w:t>
      </w:r>
    </w:p>
    <w:p w:rsidR="00402259" w:rsidRDefault="00402259" w:rsidP="00402259">
      <w:pPr>
        <w:jc w:val="both"/>
      </w:pPr>
    </w:p>
    <w:p w:rsidR="00402259" w:rsidRPr="00735C02" w:rsidRDefault="00402259" w:rsidP="00402259">
      <w:pPr>
        <w:jc w:val="both"/>
      </w:pPr>
      <w:r w:rsidRPr="00735C02">
        <w:rPr>
          <w:b/>
        </w:rPr>
        <w:t>5. § (1)-(2):</w:t>
      </w:r>
      <w:r>
        <w:t xml:space="preserve"> </w:t>
      </w:r>
      <w:r w:rsidRPr="00735C02">
        <w:t>A 4.</w:t>
      </w:r>
      <w:r>
        <w:t xml:space="preserve"> </w:t>
      </w:r>
      <w:r w:rsidRPr="00735C02">
        <w:t>sz.</w:t>
      </w:r>
      <w:r>
        <w:t xml:space="preserve"> </w:t>
      </w:r>
      <w:r w:rsidRPr="00735C02">
        <w:t>melléklet a csomagolásra és nem a csomagolószerre vonatkozik.</w:t>
      </w:r>
      <w:r>
        <w:t xml:space="preserve"> </w:t>
      </w:r>
      <w:r w:rsidRPr="00735C02">
        <w:t>A csomagolószer gyártójának nincs információja a csomagolásra vonatkozó követelmények teljesítéséről</w:t>
      </w:r>
      <w:r>
        <w:t xml:space="preserve"> (</w:t>
      </w:r>
      <w:r w:rsidRPr="00735C02">
        <w:t>ld</w:t>
      </w:r>
      <w:r>
        <w:t>. előző pont)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 w:rsidRPr="00735C02">
        <w:rPr>
          <w:b/>
        </w:rPr>
        <w:t>6. §:</w:t>
      </w:r>
      <w:r>
        <w:t xml:space="preserve"> </w:t>
      </w:r>
      <w:r w:rsidRPr="00735C02">
        <w:t>A megfogalmazások nem egyértelműek.</w:t>
      </w:r>
      <w:r>
        <w:t xml:space="preserve"> </w:t>
      </w:r>
      <w:r w:rsidRPr="00735C02">
        <w:t>Nem tisztázott, hogy</w:t>
      </w:r>
      <w:r>
        <w:t xml:space="preserve"> a csomagolószerek láncban álló gyártói (</w:t>
      </w:r>
      <w:r w:rsidRPr="00735C02">
        <w:t>első csomagolóany</w:t>
      </w:r>
      <w:r>
        <w:t>ag-</w:t>
      </w:r>
      <w:r w:rsidRPr="00735C02">
        <w:t>gyártó, második esetleg harmadik csomagolóanyag</w:t>
      </w:r>
      <w:r>
        <w:t>-</w:t>
      </w:r>
      <w:r w:rsidRPr="00735C02">
        <w:t>gyártó, első csomagolóeszköz</w:t>
      </w:r>
      <w:r>
        <w:t>-</w:t>
      </w:r>
      <w:r w:rsidRPr="00735C02">
        <w:t>gyártó második esetleg</w:t>
      </w:r>
      <w:r>
        <w:t xml:space="preserve"> harmadik csomagolóeszköz-gyártó)</w:t>
      </w:r>
      <w:r w:rsidRPr="00735C02">
        <w:t xml:space="preserve"> közül kin</w:t>
      </w:r>
      <w:r>
        <w:t xml:space="preserve">ek a kötelezettsége ugyanazon </w:t>
      </w:r>
      <w:r w:rsidRPr="00735C02">
        <w:t>hulladék hasznosítása</w:t>
      </w:r>
      <w:r>
        <w:t xml:space="preserve">. </w:t>
      </w:r>
      <w:r w:rsidRPr="00735C02">
        <w:t>Mi a kötelezettsége a csomagolónak</w:t>
      </w:r>
      <w:r>
        <w:t>,</w:t>
      </w:r>
      <w:r w:rsidRPr="00735C02">
        <w:t xml:space="preserve"> aki átvállalta </w:t>
      </w:r>
      <w:r>
        <w:t xml:space="preserve">a Ktdt szerinti kötelezettséget. További kérdés, hogy </w:t>
      </w:r>
      <w:r w:rsidRPr="00735C02">
        <w:t>amennyiben a gyártó hasznosítási kötelezettségét a rendelet szabályainak betartásával teljesíti, milyen termékdíj</w:t>
      </w:r>
      <w:r>
        <w:t xml:space="preserve"> fizetési kötelezettsége marad.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b/>
        </w:rPr>
        <w:t>6. § (2)</w:t>
      </w:r>
      <w:r w:rsidRPr="007F4479">
        <w:t xml:space="preserve"> pontja a csekély mennyiségű csomagolószer kibocsátókra vonatkozó rendelkezést írja le.</w:t>
      </w:r>
      <w:r>
        <w:t xml:space="preserve"> </w:t>
      </w:r>
      <w:r w:rsidRPr="007F4479">
        <w:t xml:space="preserve">Álláspontunk szerint a csekély mennyiségű kibocsátóknál meghatározott mennyiségi határok </w:t>
      </w:r>
      <w:r>
        <w:t xml:space="preserve">a </w:t>
      </w:r>
      <w:r w:rsidRPr="007F4479">
        <w:t>csomagolásra lett</w:t>
      </w:r>
      <w:r>
        <w:t>ek</w:t>
      </w:r>
      <w:r w:rsidRPr="007F4479">
        <w:t xml:space="preserve"> kialakítva, csomagolószerre gyakorlatilag nem értelmezhetőek. Két nagyságrenddel nagyobb mennyiségi határok esetében</w:t>
      </w:r>
      <w:r w:rsidRPr="007F4479">
        <w:rPr>
          <w:i/>
        </w:rPr>
        <w:t xml:space="preserve"> </w:t>
      </w:r>
      <w:r w:rsidRPr="007F4479">
        <w:t>is csak kevésszámú csomagolószer-gyártó eshetne hatályuk alá. Fa rakodólapok esetében például az 500 kg/év mennyiségi határ – munkanapokra visszaosztva – azt jelenti, hogy 1 db szabványos méretű, de egyszer használatos (könnyített szerkezetű) rakodólap 5 napra jutó anyagfelhasználásból állítható elő, azaz heti egy darab bocsátható ki. Ilyen forgalomra vállalkozás nem alapozható, különösen úgy nem, hogy a termék árának nagyobb hányada anyagköltség.</w:t>
      </w:r>
      <w:r>
        <w:t xml:space="preserve"> </w:t>
      </w:r>
      <w:r w:rsidRPr="007F4479">
        <w:t>Javasoljuk a csekély mennyiség fogalmát csomagolás kibocsátáshoz rendelni.</w:t>
      </w:r>
      <w:r>
        <w:t xml:space="preserve"> </w:t>
      </w:r>
      <w:r w:rsidRPr="007F4479">
        <w:t xml:space="preserve">Ezzel összefüggésben a </w:t>
      </w:r>
      <w:r w:rsidRPr="007F4479">
        <w:rPr>
          <w:b/>
        </w:rPr>
        <w:t>11. § (6)</w:t>
      </w:r>
      <w:r w:rsidRPr="007F4479">
        <w:t xml:space="preserve"> bekezdését is módosítani javasoljuk.</w:t>
      </w:r>
    </w:p>
    <w:p w:rsidR="0040225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  <w:rPr>
          <w:u w:val="single"/>
        </w:rPr>
      </w:pPr>
      <w:r w:rsidRPr="007F4479">
        <w:rPr>
          <w:b/>
        </w:rPr>
        <w:t xml:space="preserve">A 10. § (1) </w:t>
      </w:r>
      <w:r w:rsidRPr="007F4479">
        <w:t>első szavát módosítani javasoljuk. A kereskedők nem csomagolást, hanem csomagolt terméket forgalmaznak</w:t>
      </w:r>
      <w:r>
        <w:t xml:space="preserve">. </w:t>
      </w:r>
    </w:p>
    <w:p w:rsidR="00402259" w:rsidRPr="007F4479" w:rsidRDefault="00402259" w:rsidP="00402259">
      <w:pPr>
        <w:spacing w:line="276" w:lineRule="auto"/>
        <w:jc w:val="both"/>
        <w:rPr>
          <w:b/>
        </w:rPr>
      </w:pPr>
    </w:p>
    <w:p w:rsidR="00402259" w:rsidRPr="00735C02" w:rsidRDefault="00402259" w:rsidP="00402259">
      <w:pPr>
        <w:spacing w:line="276" w:lineRule="auto"/>
        <w:jc w:val="both"/>
      </w:pPr>
      <w:r w:rsidRPr="007F4479">
        <w:t>A</w:t>
      </w:r>
      <w:r w:rsidRPr="007F4479">
        <w:rPr>
          <w:b/>
        </w:rPr>
        <w:t xml:space="preserve"> 11. § (1)</w:t>
      </w:r>
      <w:r w:rsidRPr="007F4479">
        <w:t xml:space="preserve"> pontja jelzi legpontosabban, hogy a gyártó a csomagolást előállító kell</w:t>
      </w:r>
      <w:r>
        <w:t>, hogy</w:t>
      </w:r>
      <w:r w:rsidRPr="007F4479">
        <w:t xml:space="preserve"> legyen, ugyanis az </w:t>
      </w:r>
      <w:r>
        <w:t>itt</w:t>
      </w:r>
      <w:r w:rsidRPr="007F4479">
        <w:t xml:space="preserve"> felsorolt szempontokról </w:t>
      </w:r>
      <w:r>
        <w:t xml:space="preserve">kizárólag </w:t>
      </w:r>
      <w:r w:rsidRPr="007F4479">
        <w:t>a csomago</w:t>
      </w:r>
      <w:r>
        <w:t xml:space="preserve">lás kibocsátója tud </w:t>
      </w:r>
      <w:r>
        <w:lastRenderedPageBreak/>
        <w:t xml:space="preserve">nyilatkozni. </w:t>
      </w:r>
      <w:r w:rsidRPr="00735C02">
        <w:t>Az adatszolgáltatási igény nem értelmezhető egyetlen gyártó szempontjából.</w:t>
      </w:r>
      <w:r>
        <w:t xml:space="preserve"> Az a</w:t>
      </w:r>
      <w:r w:rsidRPr="00735C02">
        <w:t>-c. pontok csomagolószerre, míg a d-f. pontok csomagolásra vonatkoznak, amelyek gyártói különbözők és csak a rájuk vonatkozó adatokkal rendelkeznek.</w:t>
      </w:r>
      <w:r>
        <w:t xml:space="preserve"> </w:t>
      </w:r>
      <w:r w:rsidRPr="00735C02">
        <w:t>A csomagolószerek előállítási láncát is figyelembe véve átláthatatlan adathalmozódás következhet be</w:t>
      </w:r>
      <w:r>
        <w:t>,</w:t>
      </w:r>
      <w:r w:rsidRPr="00735C02">
        <w:t xml:space="preserve"> ha a rendelet nem határozza meg egyértelműen mely gyártó a felelős az adott adatok szolgáltatásáért.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b/>
        </w:rPr>
        <w:t>16. § (1)</w:t>
      </w:r>
      <w:r w:rsidRPr="007F4479">
        <w:t xml:space="preserve"> bekezdésben a 2004. január 1-jéig részt </w:t>
      </w:r>
      <w:r w:rsidRPr="007F4479">
        <w:rPr>
          <w:u w:val="single"/>
        </w:rPr>
        <w:t>2014. január 1-jéig</w:t>
      </w:r>
      <w:r w:rsidRPr="007F4479">
        <w:t xml:space="preserve"> -re javasoljuk módosítani.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b/>
        </w:rPr>
        <w:t>16. § (2)</w:t>
      </w:r>
      <w:r w:rsidRPr="007F4479">
        <w:t xml:space="preserve"> bekezdésben szereplő (2008. december 31.) elérési dátum Magyarország számára 2012. december 31, így felülvizsgálatát javasoljuk, különösen annak fényében, hogy 2013. január 1-től lesz várhatóan hatályos a kormányrendelet.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>
        <w:t xml:space="preserve">A </w:t>
      </w:r>
      <w:r w:rsidRPr="007F4479">
        <w:rPr>
          <w:b/>
        </w:rPr>
        <w:t>2. melléklet</w:t>
      </w:r>
      <w:r w:rsidRPr="007F4479">
        <w:t xml:space="preserve"> </w:t>
      </w:r>
      <w:r w:rsidRPr="007F4479">
        <w:rPr>
          <w:i/>
        </w:rPr>
        <w:t xml:space="preserve">„csomagolás – nem csomagolás” </w:t>
      </w:r>
      <w:r w:rsidRPr="007F4479">
        <w:t>felsorolás</w:t>
      </w:r>
      <w:r>
        <w:t xml:space="preserve"> esetén problémaként jelentkezik</w:t>
      </w:r>
      <w:r w:rsidRPr="007F4479">
        <w:t xml:space="preserve"> az, hogy miközben a szerszámos láda – tartós jellegére tekintettel – nem csomagolás, a Ktdt. és VHR szerint, VTSZ besorolása alapján – mint csomagolószer, termékdíj-köteles.</w:t>
      </w:r>
      <w:r>
        <w:t xml:space="preserve"> Hasonló ellentmondást mutat a </w:t>
      </w:r>
      <w:r w:rsidRPr="006055A9">
        <w:t>3.2. e)</w:t>
      </w:r>
      <w:r>
        <w:rPr>
          <w:i/>
        </w:rPr>
        <w:t xml:space="preserve"> „</w:t>
      </w:r>
      <w:r w:rsidRPr="007F4479">
        <w:rPr>
          <w:i/>
        </w:rPr>
        <w:t>Csomagolás részének tekintendő</w:t>
      </w:r>
      <w:r>
        <w:rPr>
          <w:i/>
        </w:rPr>
        <w:t>”</w:t>
      </w:r>
      <w:r>
        <w:t>felsorolás</w:t>
      </w:r>
      <w:r w:rsidRPr="007F4479">
        <w:rPr>
          <w:i/>
        </w:rPr>
        <w:t>: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b/>
        </w:rPr>
        <w:t xml:space="preserve">3. melléklet </w:t>
      </w:r>
      <w:r w:rsidRPr="007F4479">
        <w:rPr>
          <w:i/>
        </w:rPr>
        <w:t>„Azonosítási rendszer”</w:t>
      </w:r>
      <w:r w:rsidRPr="007F4479">
        <w:t xml:space="preserve"> táblázat műanyagra vonatkozó része nem azonos a Ktdt VHR 1. melléklet II. Csomagolószer Katalógus kódjai Kód (2-3.) anyagbesorolás táblázatával a 08 anyag tekintetében.</w:t>
      </w:r>
      <w:r>
        <w:t xml:space="preserve"> </w:t>
      </w:r>
      <w:r w:rsidRPr="007F4479">
        <w:t xml:space="preserve">Javasoljuk a két táblázatot egységesíteni. 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Megjegyezzük, hogy a 97/129/EK bizottsági határozat 06-ig </w:t>
      </w:r>
      <w:r>
        <w:t>különbözteti</w:t>
      </w:r>
      <w:r w:rsidRPr="007F4479">
        <w:t xml:space="preserve"> meg </w:t>
      </w:r>
      <w:r>
        <w:t xml:space="preserve">a </w:t>
      </w:r>
      <w:r w:rsidRPr="007F4479">
        <w:t>műanyago</w:t>
      </w:r>
      <w:r>
        <w:t>ka</w:t>
      </w:r>
      <w:r w:rsidRPr="007F4479">
        <w:t>t, így kérdéses</w:t>
      </w:r>
      <w:r>
        <w:t>, hogy</w:t>
      </w:r>
      <w:r w:rsidRPr="007F4479">
        <w:t xml:space="preserve"> indokolt-e a kormányrendelet tervezetében (és a VHR-ben) felsorolt további anyagok </w:t>
      </w:r>
      <w:r>
        <w:t>elkülönítése</w:t>
      </w:r>
      <w:r w:rsidRPr="007F4479">
        <w:t>.</w:t>
      </w:r>
      <w:r>
        <w:t xml:space="preserve"> Ez az ellentmondás tükröződik az </w:t>
      </w:r>
      <w:r w:rsidRPr="007F4479">
        <w:rPr>
          <w:b/>
        </w:rPr>
        <w:t>5. melléklet 12. megjegyzés</w:t>
      </w:r>
      <w:r>
        <w:rPr>
          <w:b/>
        </w:rPr>
        <w:t>ében</w:t>
      </w:r>
      <w:r>
        <w:t xml:space="preserve"> is, ahol</w:t>
      </w:r>
      <w:r w:rsidRPr="007F4479">
        <w:t xml:space="preserve"> csupán ötféle műanyag alcsoportbontás</w:t>
      </w:r>
      <w:r>
        <w:t xml:space="preserve"> szerepel.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b/>
        </w:rPr>
        <w:t>3. melléklet</w:t>
      </w:r>
      <w:r w:rsidRPr="007F4479">
        <w:t xml:space="preserve"> </w:t>
      </w:r>
      <w:r w:rsidRPr="007F4479">
        <w:rPr>
          <w:i/>
        </w:rPr>
        <w:t>„Azonosítási rendszer</w:t>
      </w:r>
      <w:r w:rsidRPr="007F4479">
        <w:t xml:space="preserve"> táblázatának végéről hiányzik a társított (kompozit) anyag</w:t>
      </w:r>
      <w:r w:rsidR="002647A5">
        <w:t xml:space="preserve"> megjelölésének magyarázó része.</w:t>
      </w:r>
    </w:p>
    <w:p w:rsidR="00402259" w:rsidRPr="005B0D5F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 xml:space="preserve">A </w:t>
      </w:r>
      <w:r w:rsidRPr="007F4479">
        <w:rPr>
          <w:b/>
        </w:rPr>
        <w:t>4. melléklet 3.1.</w:t>
      </w:r>
      <w:r w:rsidRPr="007F4479">
        <w:t xml:space="preserve"> pontjának megfogalmazását pontosítani javasoljuk, súlyszázalék helyett tömegszázalék kifejezés használatát ajánljuk.</w:t>
      </w:r>
    </w:p>
    <w:p w:rsidR="00402259" w:rsidRPr="007F4479" w:rsidRDefault="00402259" w:rsidP="00402259">
      <w:pPr>
        <w:spacing w:line="276" w:lineRule="auto"/>
        <w:jc w:val="both"/>
      </w:pPr>
    </w:p>
    <w:p w:rsidR="00402259" w:rsidRPr="007F4479" w:rsidRDefault="00402259" w:rsidP="00402259">
      <w:pPr>
        <w:spacing w:line="276" w:lineRule="auto"/>
        <w:jc w:val="both"/>
      </w:pPr>
      <w:r w:rsidRPr="007F4479">
        <w:t>A Magyar Szabványügyi Testület internetes szabványjegyzéke (</w:t>
      </w:r>
      <w:hyperlink r:id="rId9" w:history="1">
        <w:r w:rsidRPr="007F4479">
          <w:rPr>
            <w:rStyle w:val="Hiperhivatkozs"/>
          </w:rPr>
          <w:t>www.mszt.hu</w:t>
        </w:r>
      </w:hyperlink>
      <w:r w:rsidRPr="007F4479">
        <w:t xml:space="preserve">) alapján, </w:t>
      </w:r>
      <w:r w:rsidRPr="007F4479">
        <w:rPr>
          <w:b/>
        </w:rPr>
        <w:t xml:space="preserve">4. melléklet 4. </w:t>
      </w:r>
      <w:r w:rsidRPr="007F4479">
        <w:t xml:space="preserve">pontjában megnevezett szabványok közül </w:t>
      </w:r>
      <w:r>
        <w:t>kettőnek</w:t>
      </w:r>
      <w:r w:rsidRPr="007F4479">
        <w:t xml:space="preserve"> az évszámát, egynek a címét </w:t>
      </w:r>
      <w:r w:rsidRPr="007F4479">
        <w:lastRenderedPageBreak/>
        <w:t>pontosítani java</w:t>
      </w:r>
      <w:r>
        <w:t xml:space="preserve">soljuk. Helyesen: </w:t>
      </w:r>
      <w:r w:rsidRPr="007F4479">
        <w:t>MSZ EN 13427:2005</w:t>
      </w:r>
      <w:r>
        <w:t xml:space="preserve">, </w:t>
      </w:r>
      <w:r w:rsidRPr="007F4479">
        <w:t>MSZ EN 13432:2002</w:t>
      </w:r>
      <w:r>
        <w:t xml:space="preserve">, </w:t>
      </w:r>
      <w:r w:rsidRPr="007F4479">
        <w:t>MSZ EN 13430:2004</w:t>
      </w:r>
      <w:r>
        <w:t xml:space="preserve">: </w:t>
      </w:r>
      <w:r w:rsidRPr="007F4479">
        <w:t>Csomagolás. Az alapanyagként hasznosítható</w:t>
      </w:r>
      <w:r>
        <w:t xml:space="preserve"> </w:t>
      </w:r>
      <w:r w:rsidRPr="007F4479">
        <w:t>csomagolások követelményei</w:t>
      </w:r>
      <w:r w:rsidR="002647A5">
        <w:t>.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jc w:val="both"/>
        <w:rPr>
          <w:b/>
        </w:rPr>
      </w:pP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jc w:val="both"/>
      </w:pPr>
      <w:r w:rsidRPr="007F4479">
        <w:t xml:space="preserve">Az </w:t>
      </w:r>
      <w:r w:rsidRPr="007F4479">
        <w:rPr>
          <w:b/>
        </w:rPr>
        <w:t>5. melléklet 4. pontjának</w:t>
      </w:r>
      <w:r w:rsidRPr="007F4479">
        <w:t xml:space="preserve"> magyarázó részéhez két pontosítást javasolunk és egy észrevételünk van: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  <w:rPr>
          <w:i/>
        </w:rPr>
      </w:pPr>
      <w:r w:rsidRPr="007F4479">
        <w:rPr>
          <w:i/>
        </w:rPr>
        <w:t>4.1. A ”</w:t>
      </w:r>
      <w:r w:rsidRPr="007F4479">
        <w:rPr>
          <w:i/>
          <w:strike/>
        </w:rPr>
        <w:t>kompozit-csomagolás</w:t>
      </w:r>
      <w:r w:rsidRPr="007F4479">
        <w:rPr>
          <w:i/>
        </w:rPr>
        <w:t xml:space="preserve">” </w:t>
      </w:r>
      <w:r w:rsidRPr="007F4479">
        <w:rPr>
          <w:i/>
          <w:u w:val="single"/>
        </w:rPr>
        <w:t>„kompozit csomagolószer”</w:t>
      </w:r>
      <w:r w:rsidRPr="007F4479">
        <w:rPr>
          <w:i/>
        </w:rPr>
        <w:t xml:space="preserve"> </w:t>
      </w:r>
      <w:r w:rsidRPr="007F4479">
        <w:t>vagy</w:t>
      </w:r>
      <w:r w:rsidRPr="007F4479">
        <w:rPr>
          <w:i/>
        </w:rPr>
        <w:t xml:space="preserve"> </w:t>
      </w:r>
      <w:r w:rsidRPr="007F4479">
        <w:rPr>
          <w:i/>
          <w:u w:val="single"/>
        </w:rPr>
        <w:t xml:space="preserve">„társított csomagolószer” </w:t>
      </w:r>
      <w:r w:rsidRPr="007F4479">
        <w:rPr>
          <w:i/>
        </w:rPr>
        <w:t>a különböző, egymástól kézzel szétválaszthatatlan anyag</w:t>
      </w:r>
      <w:r w:rsidRPr="007F4479">
        <w:rPr>
          <w:i/>
          <w:strike/>
        </w:rPr>
        <w:t>ok</w:t>
      </w:r>
      <w:r w:rsidRPr="007F4479">
        <w:rPr>
          <w:i/>
          <w:u w:val="single"/>
        </w:rPr>
        <w:t>fajták</w:t>
      </w:r>
      <w:r w:rsidRPr="007F4479">
        <w:rPr>
          <w:i/>
        </w:rPr>
        <w:t>ból álló csomagolás.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</w:pPr>
      <w:r w:rsidRPr="007F4479">
        <w:rPr>
          <w:i/>
        </w:rPr>
        <w:tab/>
      </w:r>
      <w:r w:rsidRPr="007F4479">
        <w:rPr>
          <w:u w:val="single"/>
        </w:rPr>
        <w:t>Magyarázat:</w:t>
      </w:r>
      <w:r w:rsidRPr="007F4479">
        <w:rPr>
          <w:i/>
        </w:rPr>
        <w:t xml:space="preserve"> </w:t>
      </w:r>
      <w:r w:rsidRPr="007F4479">
        <w:t>a kompozit leginkább csomagolóanyag lehet, de a tévedés elkerülésére a csomagolószer szó használata „biztonságosabb”.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</w:pP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</w:pPr>
      <w:r w:rsidRPr="006059F6">
        <w:rPr>
          <w:i/>
        </w:rPr>
        <w:t>4.2. A</w:t>
      </w:r>
      <w:r w:rsidRPr="007F4479">
        <w:t xml:space="preserve"> </w:t>
      </w:r>
      <w:r w:rsidRPr="007F4479">
        <w:rPr>
          <w:i/>
        </w:rPr>
        <w:t>”csomagolási hulladék képződése” azon, a kötelezett tevékenysége következtében létrejött csomagoló</w:t>
      </w:r>
      <w:r w:rsidRPr="007F4479">
        <w:rPr>
          <w:i/>
          <w:strike/>
        </w:rPr>
        <w:t>anyag</w:t>
      </w:r>
      <w:r w:rsidRPr="007F4479">
        <w:rPr>
          <w:i/>
          <w:u w:val="single"/>
        </w:rPr>
        <w:t>szer</w:t>
      </w:r>
      <w:r w:rsidRPr="007F4479">
        <w:rPr>
          <w:i/>
        </w:rPr>
        <w:t>-mennyiséget jelenti, amely e rendelet meghatározásával összhangban termék tartása, megóvása, átadása, átvétele, szállítása és bemutatása céljából való felhasználását követően hulladékká válik.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</w:pPr>
      <w:r w:rsidRPr="007F4479">
        <w:tab/>
      </w:r>
      <w:r w:rsidRPr="007F4479">
        <w:rPr>
          <w:u w:val="single"/>
        </w:rPr>
        <w:t>Magyarázat:</w:t>
      </w:r>
      <w:r w:rsidRPr="007F4479">
        <w:rPr>
          <w:i/>
        </w:rPr>
        <w:t xml:space="preserve"> </w:t>
      </w:r>
      <w:r w:rsidRPr="007F4479">
        <w:t>a csomagolóanyag szó kisebb területet (halmazt) fed le, a csomagolószer kifejezés pedig gyűjtőfogalom, így a csomagolóanyagot, csomagolóeszközt és a csomagolási segédanyagot is ta</w:t>
      </w:r>
      <w:r w:rsidR="007F4032">
        <w:t>rtalmazza.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</w:pP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</w:pPr>
      <w:r w:rsidRPr="007F4479">
        <w:rPr>
          <w:i/>
        </w:rPr>
        <w:t xml:space="preserve">4.9. Az adatszolgáltatás szempontjából az a feltételezés alkalmazandó, amely szerint a kötelezett tevékenysége következtében képződött csomagolási hulladék mennyisége megegyezik az általa Magyarországon ugyanabban az évben forgalomba hozott csomagolás mennyiségével.” </w:t>
      </w:r>
      <w:r w:rsidRPr="007F4479">
        <w:t xml:space="preserve">megfogalmazással nem értünk teljes mértékben egyet. 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ind w:left="284"/>
        <w:jc w:val="both"/>
      </w:pPr>
      <w:r w:rsidRPr="007F4479">
        <w:rPr>
          <w:u w:val="single"/>
        </w:rPr>
        <w:t>Magyarázat:</w:t>
      </w:r>
    </w:p>
    <w:p w:rsidR="00402259" w:rsidRPr="007F4479" w:rsidRDefault="00402259" w:rsidP="00402259">
      <w:pPr>
        <w:pStyle w:val="Listaszerbekezds"/>
        <w:numPr>
          <w:ilvl w:val="0"/>
          <w:numId w:val="8"/>
        </w:numPr>
        <w:tabs>
          <w:tab w:val="center" w:pos="2268"/>
          <w:tab w:val="center" w:pos="6237"/>
        </w:tabs>
        <w:spacing w:line="276" w:lineRule="auto"/>
        <w:ind w:left="709" w:hanging="425"/>
        <w:jc w:val="both"/>
      </w:pPr>
      <w:r w:rsidRPr="007F4479">
        <w:t>abban az esetben, ha a kötelezett alatt a csomagolás előállítóját értjük, a feltételezés megállja a helyét,</w:t>
      </w:r>
    </w:p>
    <w:p w:rsidR="00402259" w:rsidRPr="007F4479" w:rsidRDefault="00402259" w:rsidP="00402259">
      <w:pPr>
        <w:pStyle w:val="Listaszerbekezds"/>
        <w:numPr>
          <w:ilvl w:val="0"/>
          <w:numId w:val="8"/>
        </w:numPr>
        <w:tabs>
          <w:tab w:val="center" w:pos="2268"/>
          <w:tab w:val="center" w:pos="6237"/>
        </w:tabs>
        <w:spacing w:line="276" w:lineRule="auto"/>
        <w:ind w:left="709" w:hanging="425"/>
        <w:jc w:val="both"/>
      </w:pPr>
      <w:r w:rsidRPr="007F4479">
        <w:t xml:space="preserve">abban az esetben azonban, ha a kötelezett a csomagolószer-gyártó, már ellenvéleményünk van. 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jc w:val="both"/>
      </w:pPr>
      <w:r w:rsidRPr="007F4479">
        <w:tab/>
        <w:t xml:space="preserve">A termékdíjas szabályozás 2012. évi eddigi tapasztalatai ugyanis azt mutatják, hogy a tárgyi és alanyi hatály megváltoztatása miatt nem lehet átlátható és hiteles nyilvántartást vezetni a csomagolási hulladékokról, mert a bevallott adatok több ok miatt nem fedik a valóságot és így nem alkalmazható a fentebb idézetben szereplő feltételezés. </w:t>
      </w:r>
    </w:p>
    <w:p w:rsidR="00402259" w:rsidRPr="007F4479" w:rsidRDefault="00402259" w:rsidP="00402259">
      <w:pPr>
        <w:tabs>
          <w:tab w:val="center" w:pos="2268"/>
          <w:tab w:val="center" w:pos="6237"/>
        </w:tabs>
        <w:spacing w:line="276" w:lineRule="auto"/>
        <w:jc w:val="both"/>
      </w:pPr>
      <w:r w:rsidRPr="007F4479">
        <w:tab/>
        <w:t>Az új termékdíj törvény hatásainak elemzése kapcsán összegyűjtött adatok többek között azért nem reálisak, mert:</w:t>
      </w:r>
    </w:p>
    <w:p w:rsidR="00402259" w:rsidRPr="007F4479" w:rsidRDefault="00402259" w:rsidP="00402259">
      <w:pPr>
        <w:pStyle w:val="Listaszerbekezds"/>
        <w:numPr>
          <w:ilvl w:val="0"/>
          <w:numId w:val="8"/>
        </w:numPr>
        <w:tabs>
          <w:tab w:val="center" w:pos="2268"/>
          <w:tab w:val="center" w:pos="6237"/>
        </w:tabs>
        <w:spacing w:line="276" w:lineRule="auto"/>
        <w:ind w:left="709" w:hanging="425"/>
        <w:jc w:val="both"/>
      </w:pPr>
      <w:r w:rsidRPr="007F4479">
        <w:tab/>
        <w:t>a nem csomagolási célra felhasznált anyagok után is kell fizetni termékdíjat,</w:t>
      </w:r>
    </w:p>
    <w:p w:rsidR="00402259" w:rsidRPr="007F4479" w:rsidRDefault="00402259" w:rsidP="00402259">
      <w:pPr>
        <w:pStyle w:val="Listaszerbekezds"/>
        <w:numPr>
          <w:ilvl w:val="0"/>
          <w:numId w:val="8"/>
        </w:numPr>
        <w:tabs>
          <w:tab w:val="center" w:pos="2268"/>
          <w:tab w:val="center" w:pos="6237"/>
        </w:tabs>
        <w:spacing w:line="276" w:lineRule="auto"/>
        <w:ind w:left="709" w:hanging="425"/>
        <w:jc w:val="both"/>
      </w:pPr>
      <w:r w:rsidRPr="007F4479">
        <w:tab/>
        <w:t>a forgalomba még nem hozott termék csomagolószere után megfizetett termékdíj már a hulladékszámítás alapját képezi,</w:t>
      </w:r>
    </w:p>
    <w:p w:rsidR="00402259" w:rsidRPr="007F4479" w:rsidRDefault="00402259" w:rsidP="00402259">
      <w:pPr>
        <w:pStyle w:val="Listaszerbekezds"/>
        <w:numPr>
          <w:ilvl w:val="0"/>
          <w:numId w:val="8"/>
        </w:numPr>
        <w:tabs>
          <w:tab w:val="center" w:pos="2268"/>
          <w:tab w:val="center" w:pos="6237"/>
        </w:tabs>
        <w:spacing w:line="276" w:lineRule="auto"/>
        <w:ind w:left="709" w:hanging="425"/>
        <w:jc w:val="both"/>
      </w:pPr>
      <w:r w:rsidRPr="007F4479">
        <w:lastRenderedPageBreak/>
        <w:tab/>
        <w:t>a rendszer nem tudja kiszűrni a termékdíj többszöri megfizetését,</w:t>
      </w:r>
    </w:p>
    <w:p w:rsidR="00402259" w:rsidRPr="007F4479" w:rsidRDefault="00402259" w:rsidP="00402259">
      <w:pPr>
        <w:pStyle w:val="Listaszerbekezds"/>
        <w:numPr>
          <w:ilvl w:val="0"/>
          <w:numId w:val="8"/>
        </w:numPr>
        <w:tabs>
          <w:tab w:val="center" w:pos="2268"/>
          <w:tab w:val="center" w:pos="6237"/>
        </w:tabs>
        <w:spacing w:line="276" w:lineRule="auto"/>
        <w:ind w:left="709" w:hanging="425"/>
        <w:jc w:val="both"/>
      </w:pPr>
      <w:r w:rsidRPr="007F4479">
        <w:tab/>
        <w:t>a csomagolószerek kiskereskedelmi értékesítése során a felhasználási cél nem tisztázható,</w:t>
      </w:r>
    </w:p>
    <w:p w:rsidR="00402259" w:rsidRPr="007F4479" w:rsidRDefault="00402259" w:rsidP="00402259">
      <w:pPr>
        <w:pStyle w:val="Listaszerbekezds"/>
        <w:numPr>
          <w:ilvl w:val="0"/>
          <w:numId w:val="8"/>
        </w:numPr>
        <w:tabs>
          <w:tab w:val="center" w:pos="2268"/>
          <w:tab w:val="center" w:pos="6237"/>
        </w:tabs>
        <w:spacing w:line="276" w:lineRule="auto"/>
        <w:ind w:left="709" w:hanging="425"/>
        <w:jc w:val="both"/>
      </w:pPr>
      <w:r w:rsidRPr="007F4479">
        <w:tab/>
        <w:t>üzletpolitikai megfontolásokból visszaigénylést nem érvényesítenek.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402259" w:rsidP="00402259">
      <w:pPr>
        <w:autoSpaceDE w:val="0"/>
        <w:autoSpaceDN w:val="0"/>
        <w:adjustRightInd w:val="0"/>
        <w:jc w:val="center"/>
      </w:pPr>
      <w:r w:rsidRPr="00425019">
        <w:rPr>
          <w:b/>
          <w:bCs/>
        </w:rPr>
        <w:t>A hulladékká vált gépjárművekről szóló Kormányrendelet tervezet</w:t>
      </w:r>
    </w:p>
    <w:p w:rsidR="00402259" w:rsidRDefault="00402259" w:rsidP="00402259">
      <w:pPr>
        <w:jc w:val="both"/>
      </w:pPr>
    </w:p>
    <w:p w:rsidR="00402259" w:rsidRPr="001B3851" w:rsidRDefault="00402259" w:rsidP="00402259">
      <w:pPr>
        <w:jc w:val="both"/>
        <w:rPr>
          <w:b/>
        </w:rPr>
      </w:pPr>
      <w:r>
        <w:rPr>
          <w:b/>
        </w:rPr>
        <w:t>Általánosan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jogalkotó az általunk korábban megismert és véleményezett tervezethez képest sok rendszer hibát igyekezett korrigálni. Ez a korrekció azonban nem teljes. Továbbra is problémának látjuk, hogy a tervezet nem írja elő egyértelműen hogy a gyártó „ …</w:t>
      </w:r>
      <w:r w:rsidRPr="002B3AE5">
        <w:t xml:space="preserve"> elősegíti a gépjármű karbantartása, javítása, valamint a hulladékká vált gépjármű bontása során keletkező alkatrészek, anyagok újrahasználatát, a hulladék hasznosítását, illetőleg kö</w:t>
      </w:r>
      <w:r w:rsidR="004D2917">
        <w:t>rnyezetkímélő ártalmatlanítását</w:t>
      </w:r>
      <w:r>
        <w:t>”</w:t>
      </w:r>
      <w:r w:rsidR="004D2917">
        <w:t>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Továbbra is problémának látjuk, hogy a tervezet nem vállalja föl a gyártóval már nem rendelkező hulladékká vált gépjárművek visszavételének szabályozását. Javasoljuk rögzíteni, hogy a bontó köteles a nála fölajánlott, gyártóval már nem rendelkező hulladékká vált gépjárművet – a gyártóval rendelkezőkhöz hason</w:t>
      </w:r>
      <w:r w:rsidR="004D2917">
        <w:t>ló feltételek mellett - átvenni</w:t>
      </w:r>
      <w:r>
        <w:t xml:space="preserve"> és a bontási igazolást kiadni. Ez előrelépést jelentene a jelenlegi szabályozáshoz képest.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Ugyancsak fönnmaradt a tervezetben az adatszolgáltatásra vonatkozó koherencia zavar, amely a normaszöveg és az adatszolgáltatási adatlapok között mutatkozik meg. Nem derül ki </w:t>
      </w:r>
      <w:r w:rsidRPr="00FC265E">
        <w:t>egyértelmű</w:t>
      </w:r>
      <w:r>
        <w:t>en a szövegkörnyezetből, hogy mi a pontos célja az előírt adatszolgáltatásnak, illetve ki, hogyan fog ezekből az adatszolgáltatásokból országos szintű adatokat generálni. A tervezet mellékleteiben a következő tárgyú adatszolgáltatások vannak előírva: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 w:rsidRPr="004C28E2">
        <w:rPr>
          <w:b/>
        </w:rPr>
        <w:t>1. melléklet:</w:t>
      </w:r>
      <w:r>
        <w:t xml:space="preserve"> </w:t>
      </w:r>
      <w:r w:rsidRPr="00CE26B2">
        <w:t xml:space="preserve">ADATLAP A </w:t>
      </w:r>
      <w:r>
        <w:t>GÉPJÁRMŰ</w:t>
      </w:r>
      <w:r w:rsidRPr="00CE26B2">
        <w:t xml:space="preserve">GYÁRTÓ, </w:t>
      </w:r>
      <w:r>
        <w:t xml:space="preserve">A </w:t>
      </w:r>
      <w:r w:rsidRPr="00CE26B2">
        <w:t xml:space="preserve">HULLADÉKKEZELŐ VAGY </w:t>
      </w:r>
      <w:r>
        <w:t xml:space="preserve">A </w:t>
      </w:r>
      <w:r w:rsidRPr="00CE26B2">
        <w:t>KÖZVETÍTŐ SZERVEZET</w:t>
      </w:r>
      <w:r w:rsidRPr="00CE26B2" w:rsidDel="009457DD">
        <w:t xml:space="preserve"> </w:t>
      </w:r>
      <w:r w:rsidRPr="00CE26B2">
        <w:t>ADATSZOLGÁLTATÁSI KÖTELEZETTSÉGÉHEZ</w:t>
      </w:r>
    </w:p>
    <w:p w:rsidR="00402259" w:rsidRDefault="00402259" w:rsidP="00402259">
      <w:pPr>
        <w:autoSpaceDE w:val="0"/>
        <w:autoSpaceDN w:val="0"/>
        <w:adjustRightInd w:val="0"/>
        <w:ind w:firstLine="709"/>
      </w:pPr>
      <w:r w:rsidRPr="004C28E2">
        <w:rPr>
          <w:b/>
        </w:rPr>
        <w:t>A1 adatlap</w:t>
      </w:r>
      <w:r>
        <w:t xml:space="preserve">: Forgalomba hozott gépjárművek </w:t>
      </w:r>
      <w:r w:rsidRPr="000C554D">
        <w:t>(Kötelező a Gyártók részére</w:t>
      </w:r>
      <w:r>
        <w:t>)</w:t>
      </w:r>
    </w:p>
    <w:p w:rsidR="00402259" w:rsidRDefault="00402259" w:rsidP="00402259">
      <w:pPr>
        <w:autoSpaceDE w:val="0"/>
        <w:autoSpaceDN w:val="0"/>
        <w:adjustRightInd w:val="0"/>
        <w:spacing w:before="20" w:after="20"/>
        <w:ind w:left="709"/>
      </w:pPr>
      <w:r w:rsidRPr="004C28E2">
        <w:rPr>
          <w:b/>
        </w:rPr>
        <w:t>A2 adatlap:</w:t>
      </w:r>
      <w:r>
        <w:t xml:space="preserve"> Átvett és kezelt gépjárművek </w:t>
      </w:r>
      <w:r w:rsidRPr="000C554D">
        <w:t xml:space="preserve">(A </w:t>
      </w:r>
      <w:r>
        <w:t>g</w:t>
      </w:r>
      <w:r w:rsidRPr="000C554D">
        <w:t xml:space="preserve">yártó, a </w:t>
      </w:r>
      <w:r>
        <w:t>h</w:t>
      </w:r>
      <w:r w:rsidRPr="000C554D">
        <w:t>ulladékkezelő</w:t>
      </w:r>
      <w:r w:rsidRPr="00CE26B2">
        <w:t xml:space="preserve"> vagy a közvetítő szervezet rendszerében </w:t>
      </w:r>
      <w:r>
        <w:t>át</w:t>
      </w:r>
      <w:r w:rsidRPr="00CE26B2">
        <w:t>vett gépjárművek)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 w:rsidRPr="00335C37">
        <w:rPr>
          <w:b/>
        </w:rPr>
        <w:t>2. melléklet:</w:t>
      </w:r>
      <w:r>
        <w:t xml:space="preserve"> </w:t>
      </w:r>
      <w:r w:rsidRPr="00335C37">
        <w:rPr>
          <w:caps/>
        </w:rPr>
        <w:t>Éves bejelentés a hulladékká vált gépjárművek kezeléséről</w:t>
      </w:r>
    </w:p>
    <w:p w:rsidR="00402259" w:rsidRDefault="00402259" w:rsidP="00402259">
      <w:pPr>
        <w:ind w:left="709"/>
        <w:jc w:val="both"/>
        <w:rPr>
          <w:caps/>
        </w:rPr>
      </w:pPr>
      <w:r w:rsidRPr="000C554D">
        <w:rPr>
          <w:b/>
          <w:bCs/>
        </w:rPr>
        <w:t>3/1. táblázat</w:t>
      </w:r>
      <w:r>
        <w:rPr>
          <w:b/>
          <w:bCs/>
        </w:rPr>
        <w:t xml:space="preserve">: </w:t>
      </w:r>
      <w:r w:rsidRPr="000C554D">
        <w:t>A hulladék</w:t>
      </w:r>
      <w:r w:rsidRPr="00CE26B2">
        <w:t>ga</w:t>
      </w:r>
      <w:r>
        <w:t>z</w:t>
      </w:r>
      <w:r w:rsidRPr="00CE26B2">
        <w:t xml:space="preserve">dálkodási engedéllyel rendelkező </w:t>
      </w:r>
      <w:r>
        <w:t>hulladék</w:t>
      </w:r>
      <w:r w:rsidRPr="00CE26B2">
        <w:t>kezelőhöz került hulladékká vált gépjárművek folyadékmentesítéséből, bontásából/hasznosítható anyagok eltávolításából származó hulladék (tonna/év)</w:t>
      </w:r>
    </w:p>
    <w:p w:rsidR="00402259" w:rsidRDefault="00402259" w:rsidP="00402259">
      <w:pPr>
        <w:ind w:left="709"/>
        <w:jc w:val="both"/>
      </w:pPr>
      <w:r w:rsidRPr="000C554D">
        <w:rPr>
          <w:b/>
          <w:bCs/>
        </w:rPr>
        <w:lastRenderedPageBreak/>
        <w:t xml:space="preserve">3/2. táblázat: </w:t>
      </w:r>
      <w:r w:rsidRPr="000C554D">
        <w:t>A hulladék</w:t>
      </w:r>
      <w:r w:rsidRPr="00CE26B2">
        <w:t xml:space="preserve">gazdálkodási engedéllyel rendelkező </w:t>
      </w:r>
      <w:r>
        <w:t>hulladék</w:t>
      </w:r>
      <w:r w:rsidRPr="00CE26B2">
        <w:t>kezelőhöz került hulladékká vált gépjárművek zúzásából, aprításából származó anyagok (tonna/év)</w:t>
      </w:r>
    </w:p>
    <w:p w:rsidR="00402259" w:rsidRDefault="00402259" w:rsidP="00402259">
      <w:pPr>
        <w:ind w:left="709"/>
        <w:jc w:val="both"/>
      </w:pPr>
      <w:r>
        <w:rPr>
          <w:b/>
          <w:bCs/>
        </w:rPr>
        <w:t>3</w:t>
      </w:r>
      <w:r w:rsidRPr="000C554D">
        <w:rPr>
          <w:b/>
          <w:bCs/>
        </w:rPr>
        <w:t xml:space="preserve">/3. táblázat: </w:t>
      </w:r>
      <w:r w:rsidRPr="000C554D">
        <w:t>A hulladék</w:t>
      </w:r>
      <w:r w:rsidRPr="00CE26B2">
        <w:t xml:space="preserve">gazdálkodási engedéllyel rendelkező </w:t>
      </w:r>
      <w:r>
        <w:t>hulladék</w:t>
      </w:r>
      <w:r w:rsidRPr="00CE26B2">
        <w:t>kezelőhöz került hulladékká vált gépjárművek (alkatrészek) exportja (tonna/év)</w:t>
      </w:r>
    </w:p>
    <w:p w:rsidR="00402259" w:rsidRPr="00DB5513" w:rsidRDefault="00402259" w:rsidP="00402259">
      <w:pPr>
        <w:ind w:left="709"/>
        <w:jc w:val="both"/>
        <w:rPr>
          <w:b/>
          <w:bCs/>
        </w:rPr>
      </w:pPr>
      <w:r w:rsidRPr="000C554D">
        <w:rPr>
          <w:b/>
          <w:bCs/>
        </w:rPr>
        <w:t xml:space="preserve">3/4. táblázat: </w:t>
      </w:r>
      <w:r w:rsidRPr="00DB5513">
        <w:rPr>
          <w:bCs/>
        </w:rPr>
        <w:t>A hulladékgazdálkodási engedéllyel rendelkező hulladékkezelőhöz került hulladékká vált és ott vagy más országban kezelt gépjárművek (alkatrészek) teljes hasznosítása (kivéve energetikai) és visszanyerése (tonna/év), valamint gépjárművek, illetve gép</w:t>
      </w:r>
      <w:r>
        <w:rPr>
          <w:bCs/>
        </w:rPr>
        <w:t>járműalkatrészek újrahasználata</w:t>
      </w:r>
    </w:p>
    <w:p w:rsidR="00402259" w:rsidRDefault="00402259" w:rsidP="00402259">
      <w:pPr>
        <w:jc w:val="both"/>
      </w:pPr>
      <w:r>
        <w:rPr>
          <w:b/>
        </w:rPr>
        <w:t xml:space="preserve">3. melléklet: </w:t>
      </w:r>
      <w:r w:rsidRPr="00CE26B2">
        <w:t xml:space="preserve">ADATLAP A GÉPJÁRMŰGYÁRTÓ, ILLETVE A KÖTELEZETTSÉGEIT ÁTVÁLLALÓ NYILVÁNTARTÁSBA VÉTELÉHEZ ÉS A HULLADÉKKÁ VÁLT GÉPJÁRMŰVEK </w:t>
      </w:r>
      <w:r>
        <w:t>ÁT</w:t>
      </w:r>
      <w:r w:rsidRPr="00CE26B2">
        <w:t xml:space="preserve">VÉTELI ÉS </w:t>
      </w:r>
      <w:r>
        <w:t>KEZELÉSI</w:t>
      </w:r>
      <w:r w:rsidRPr="00CE26B2">
        <w:t xml:space="preserve"> RENDSZERÉNEK BEJELENTÉSÉHEZ</w:t>
      </w:r>
    </w:p>
    <w:p w:rsidR="00402259" w:rsidRPr="009A0CA1" w:rsidRDefault="00402259" w:rsidP="00402259">
      <w:pPr>
        <w:ind w:left="709"/>
        <w:jc w:val="both"/>
      </w:pPr>
      <w:r w:rsidRPr="000C554D">
        <w:rPr>
          <w:b/>
          <w:bCs/>
        </w:rPr>
        <w:t>1. adatlap</w:t>
      </w:r>
      <w:r>
        <w:rPr>
          <w:b/>
          <w:bCs/>
        </w:rPr>
        <w:t xml:space="preserve">: </w:t>
      </w:r>
      <w:r w:rsidRPr="009A0CA1">
        <w:rPr>
          <w:bCs/>
        </w:rPr>
        <w:t>Gyártó/Hulladékkezelő/Közvetítő szervezet adatai</w:t>
      </w:r>
    </w:p>
    <w:p w:rsidR="00402259" w:rsidRDefault="00402259" w:rsidP="00402259">
      <w:pPr>
        <w:ind w:left="709"/>
        <w:jc w:val="both"/>
        <w:rPr>
          <w:bCs/>
        </w:rPr>
      </w:pPr>
      <w:r>
        <w:rPr>
          <w:b/>
          <w:bCs/>
        </w:rPr>
        <w:t>2.</w:t>
      </w:r>
      <w:r>
        <w:rPr>
          <w:b/>
        </w:rPr>
        <w:t xml:space="preserve"> adatlap: </w:t>
      </w:r>
      <w:r w:rsidRPr="009A0CA1">
        <w:rPr>
          <w:bCs/>
        </w:rPr>
        <w:t>A gyártóval, hulladékkezelővel, közvetítő szervezettel szerződéses viszonyban álló kezelést végző szervezet(ek), tagjai és adataik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tervezet szövege értelmében a kötelezetteknek a következő adatszolgáltatást kell végezniük:</w:t>
      </w:r>
    </w:p>
    <w:p w:rsidR="00402259" w:rsidRDefault="00402259" w:rsidP="00402259">
      <w:pPr>
        <w:jc w:val="both"/>
      </w:pPr>
    </w:p>
    <w:p w:rsidR="00402259" w:rsidRDefault="00402259" w:rsidP="00402259">
      <w:pPr>
        <w:ind w:left="709" w:hanging="709"/>
        <w:jc w:val="both"/>
      </w:pPr>
      <w:r>
        <w:t>1</w:t>
      </w:r>
      <w:r>
        <w:tab/>
        <w:t xml:space="preserve">A gyártó az </w:t>
      </w:r>
      <w:r w:rsidRPr="0014556C">
        <w:rPr>
          <w:b/>
          <w:i/>
        </w:rPr>
        <w:t>1-3 mellékletben</w:t>
      </w:r>
      <w:r>
        <w:t xml:space="preserve"> szereplő adatlapokon adatot szolgáltat a felügyelőségnek a </w:t>
      </w:r>
      <w:r w:rsidRPr="00456338">
        <w:t>tárgyévet követő év március 1. napjáig</w:t>
      </w:r>
      <w:r>
        <w:t xml:space="preserve"> (4. § (5))</w:t>
      </w:r>
    </w:p>
    <w:p w:rsidR="00402259" w:rsidRDefault="00402259" w:rsidP="00402259">
      <w:pPr>
        <w:autoSpaceDE w:val="0"/>
        <w:autoSpaceDN w:val="0"/>
        <w:adjustRightInd w:val="0"/>
        <w:ind w:left="709" w:hanging="709"/>
        <w:jc w:val="both"/>
      </w:pPr>
      <w:r>
        <w:t>2</w:t>
      </w:r>
      <w:r>
        <w:tab/>
      </w:r>
      <w:r w:rsidRPr="00CE26B2">
        <w:t xml:space="preserve">A gyártó az </w:t>
      </w:r>
      <w:r>
        <w:t>átvevő-, gyűjtő- és kezelőhálózat</w:t>
      </w:r>
      <w:r w:rsidRPr="00CE26B2">
        <w:t xml:space="preserve"> </w:t>
      </w:r>
      <w:r>
        <w:t xml:space="preserve">kialakításáról </w:t>
      </w:r>
      <w:r w:rsidRPr="00CE26B2">
        <w:t xml:space="preserve">a </w:t>
      </w:r>
      <w:r w:rsidRPr="0014556C">
        <w:rPr>
          <w:b/>
          <w:i/>
        </w:rPr>
        <w:t>3. mellékletben</w:t>
      </w:r>
      <w:r w:rsidRPr="00CE26B2">
        <w:rPr>
          <w:i/>
          <w:iCs/>
        </w:rPr>
        <w:t xml:space="preserve"> </w:t>
      </w:r>
      <w:r w:rsidRPr="00CE26B2">
        <w:t>meghatározott nyomtatvány</w:t>
      </w:r>
      <w:r>
        <w:t xml:space="preserve"> kitöltése útján</w:t>
      </w:r>
      <w:r w:rsidRPr="00CE26B2">
        <w:t xml:space="preserve"> felügyelőség</w:t>
      </w:r>
      <w:r>
        <w:t xml:space="preserve"> részére</w:t>
      </w:r>
      <w:r w:rsidRPr="00CE26B2">
        <w:t xml:space="preserve"> bejelent</w:t>
      </w:r>
      <w:r>
        <w:t>ést tesz. (</w:t>
      </w:r>
      <w:r w:rsidRPr="003161E7">
        <w:rPr>
          <w:bCs/>
        </w:rPr>
        <w:t>7. §</w:t>
      </w:r>
      <w:r>
        <w:rPr>
          <w:bCs/>
        </w:rPr>
        <w:t>. (1)</w:t>
      </w:r>
      <w:r>
        <w:t>)</w:t>
      </w:r>
      <w:r w:rsidRPr="00CE26B2">
        <w:t xml:space="preserve"> </w:t>
      </w:r>
      <w:r>
        <w:t xml:space="preserve">A bejelentésnek legalább </w:t>
      </w:r>
      <w:r w:rsidRPr="00CE26B2">
        <w:t>a következő</w:t>
      </w:r>
      <w:r>
        <w:t xml:space="preserve"> adatokat kell</w:t>
      </w:r>
      <w:r w:rsidRPr="00CE26B2">
        <w:t xml:space="preserve"> </w:t>
      </w:r>
      <w:r>
        <w:t>tartalmaznia</w:t>
      </w:r>
      <w:r w:rsidRPr="00CE26B2">
        <w:t>:</w:t>
      </w:r>
    </w:p>
    <w:p w:rsidR="00402259" w:rsidRPr="00482948" w:rsidRDefault="00402259" w:rsidP="0040225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iCs/>
        </w:rPr>
      </w:pPr>
      <w:r w:rsidRPr="00CE26B2">
        <w:t>a</w:t>
      </w:r>
      <w:r>
        <w:t>z</w:t>
      </w:r>
      <w:r w:rsidRPr="00CE26B2">
        <w:t xml:space="preserve"> </w:t>
      </w:r>
      <w:r w:rsidRPr="00482948">
        <w:t>átvevő</w:t>
      </w:r>
      <w:r>
        <w:t>-, gyűjtő- és kezelő</w:t>
      </w:r>
      <w:r w:rsidRPr="00482948">
        <w:t xml:space="preserve">hálózat </w:t>
      </w:r>
      <w:r>
        <w:t xml:space="preserve">keretén belül kialakított és üzemeltetett </w:t>
      </w:r>
      <w:r w:rsidRPr="00482948">
        <w:t>átvevőhelyek cím</w:t>
      </w:r>
      <w:r>
        <w:t>ét</w:t>
      </w:r>
      <w:r w:rsidRPr="00482948">
        <w:t xml:space="preserve">, </w:t>
      </w:r>
      <w:r>
        <w:t xml:space="preserve">az </w:t>
      </w:r>
      <w:r w:rsidRPr="00482948">
        <w:t>üzemeltető</w:t>
      </w:r>
      <w:r>
        <w:t xml:space="preserve"> nevét, székhelyét</w:t>
      </w:r>
      <w:r w:rsidRPr="00482948">
        <w:t>,</w:t>
      </w:r>
    </w:p>
    <w:p w:rsidR="00402259" w:rsidRPr="00D12DD7" w:rsidRDefault="00402259" w:rsidP="0040225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</w:pPr>
      <w:r w:rsidRPr="00482948">
        <w:t>az 5</w:t>
      </w:r>
      <w:r w:rsidRPr="00697140">
        <w:t>. § (</w:t>
      </w:r>
      <w:r>
        <w:t>4</w:t>
      </w:r>
      <w:r w:rsidRPr="00697140">
        <w:t>) és (</w:t>
      </w:r>
      <w:r>
        <w:t>5</w:t>
      </w:r>
      <w:r w:rsidRPr="00697140">
        <w:t xml:space="preserve">) bekezdése szerinti átvétel feltételeinek </w:t>
      </w:r>
      <w:r w:rsidRPr="00D12DD7">
        <w:t>megvalósulását, valamint</w:t>
      </w:r>
    </w:p>
    <w:p w:rsidR="00402259" w:rsidRPr="00D12DD7" w:rsidRDefault="00402259" w:rsidP="0040225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</w:pPr>
      <w:r w:rsidRPr="00D12DD7">
        <w:t>a hulladék átvételét, gyűjtését és kezelését szerződés alapján teljesítő átvevők és bontók, továbbá a bontás során képződő hulladék kezelését végző hulladékkezelők listáját.</w:t>
      </w:r>
    </w:p>
    <w:p w:rsidR="00402259" w:rsidRDefault="00402259" w:rsidP="00402259">
      <w:pPr>
        <w:autoSpaceDE w:val="0"/>
        <w:autoSpaceDN w:val="0"/>
        <w:adjustRightInd w:val="0"/>
        <w:ind w:left="709"/>
        <w:jc w:val="both"/>
      </w:pPr>
      <w:r w:rsidRPr="00D12DD7">
        <w:t xml:space="preserve">Ha a gyártó </w:t>
      </w:r>
      <w:r>
        <w:t>a</w:t>
      </w:r>
      <w:r w:rsidRPr="00EF23EA">
        <w:t xml:space="preserve"> kötelezettség-átruházási lehetőségek valamelyikét alkalmazza, az </w:t>
      </w:r>
      <w:r>
        <w:t>előbbi</w:t>
      </w:r>
      <w:r w:rsidRPr="00EF23EA">
        <w:t xml:space="preserve"> bejelentést </w:t>
      </w:r>
      <w:r>
        <w:t xml:space="preserve">annak kell megtennie, aki </w:t>
      </w:r>
      <w:r w:rsidRPr="00EF23EA">
        <w:t xml:space="preserve">a kötelezettséget </w:t>
      </w:r>
      <w:r>
        <w:t>a gyártótól megállapodásban átvállalta</w:t>
      </w:r>
      <w:r w:rsidRPr="00EF23EA">
        <w:t xml:space="preserve">. </w:t>
      </w:r>
    </w:p>
    <w:p w:rsidR="00402259" w:rsidRDefault="00402259" w:rsidP="00402259">
      <w:pPr>
        <w:ind w:left="709" w:hanging="709"/>
        <w:jc w:val="both"/>
      </w:pPr>
      <w:r>
        <w:t>3</w:t>
      </w:r>
      <w:r>
        <w:tab/>
        <w:t>A forgalmazó, a bontó, illetve az átvevő – kivéve, ha közvetítőhöz csatlakozott – az</w:t>
      </w:r>
      <w:r w:rsidRPr="00CE26B2">
        <w:t xml:space="preserve"> </w:t>
      </w:r>
      <w:r w:rsidRPr="0014556C">
        <w:rPr>
          <w:b/>
          <w:i/>
        </w:rPr>
        <w:t>1–3. mellékletében</w:t>
      </w:r>
      <w:r w:rsidRPr="00884B4C">
        <w:rPr>
          <w:i/>
        </w:rPr>
        <w:t xml:space="preserve"> </w:t>
      </w:r>
      <w:r>
        <w:t>foglaltaknak megfelelően</w:t>
      </w:r>
      <w:r w:rsidRPr="00CE26B2">
        <w:t xml:space="preserve"> </w:t>
      </w:r>
      <w:r>
        <w:t>adatot szolgáltat</w:t>
      </w:r>
      <w:r w:rsidRPr="00CE26B2">
        <w:t xml:space="preserve"> a </w:t>
      </w:r>
      <w:r>
        <w:t xml:space="preserve">felügyelőség és a Nemzeti </w:t>
      </w:r>
      <w:r w:rsidRPr="00CE26B2">
        <w:t xml:space="preserve">Közlekedési </w:t>
      </w:r>
      <w:r>
        <w:t>Hatóság</w:t>
      </w:r>
      <w:r w:rsidRPr="00CE26B2">
        <w:t xml:space="preserve"> </w:t>
      </w:r>
      <w:r>
        <w:t xml:space="preserve">részére a </w:t>
      </w:r>
      <w:r w:rsidRPr="00456338">
        <w:t>tárgyévet követő év március 1. napjáig</w:t>
      </w:r>
      <w:r>
        <w:t xml:space="preserve"> (11. § (2))</w:t>
      </w:r>
    </w:p>
    <w:p w:rsidR="00402259" w:rsidRDefault="00402259" w:rsidP="00402259">
      <w:pPr>
        <w:ind w:left="709" w:hanging="709"/>
        <w:jc w:val="both"/>
      </w:pPr>
      <w:r>
        <w:t>4</w:t>
      </w:r>
      <w:r>
        <w:tab/>
        <w:t>A bontási igazolást a gépjármű korábbi tulajdonosa a közlekedési igazgatási hatóságnak adja át (9. § (2))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fentiekkel kapcsolatban a következő fölvetések adódnak: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lastRenderedPageBreak/>
        <w:t>Az 1. és 3. pont alatti adatszolgáltatások duplikátumot tartalmaznak. Amennyiben az a jogalkotó szándéka, hogy az egyes szereplők adatait – azok ellenőrzése érdekében – összevesse, akkor ez a szándék nem fog teljesülni, mert az adatlapokat telephely szerinti összesítésben, és nem az adott gyártó és a vele szerződésben álló partner összefüggésében kell megadni. Nem segít ezen az sem, hogy a 3. mellékletben a szerződő partnerek adatait kérik be, mivel azon pedig a telephelyi bontásokra utalás nem szerepel. Bonyolítja a helyzetet, hogy a bontó egyidejűleg több gyártóval való szerződés keretében végezhet bontást, de végezhet olyan bontást is, amelyre nincs gyártóval leszerződve. Ezeknek az eseteknek a kiszűrése a tervezett adatszolgáltatás mellett nem lehetséges. Amennyiben ez nem valósul meg, az ugyanazon adatokról bekért többszörös adatszolgáltatás teljesen fölösleges, kizárólag az adminisztrációs terheket növeli, környezetvédelmi előnyökkel nem jár.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A 2. pontban jelzett 7. § (1) b. pont arra vonatkozik, hogy az adatszolgáltatásnak tartalmaznia kell </w:t>
      </w:r>
      <w:r w:rsidRPr="00482948">
        <w:t>az 5</w:t>
      </w:r>
      <w:r w:rsidRPr="00697140">
        <w:t>. § (</w:t>
      </w:r>
      <w:r>
        <w:t>4</w:t>
      </w:r>
      <w:r w:rsidRPr="00697140">
        <w:t>) és (</w:t>
      </w:r>
      <w:r>
        <w:t>5</w:t>
      </w:r>
      <w:r w:rsidRPr="00697140">
        <w:t xml:space="preserve">) bekezdése szerinti átvétel feltételeinek </w:t>
      </w:r>
      <w:r w:rsidRPr="00D12DD7">
        <w:t>megvalósulását</w:t>
      </w:r>
      <w:r>
        <w:t xml:space="preserve"> (értékkel, vagy érték nélkül történt-e a tulajdonostól az átvétel). Erre vonatkozóan azonban a 3. melléklet adatlapjai semmilyen információt nem kérnek. Ennek megfelelően az adott előírás nem értelmezhető.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A 3. pontban szereplő adatszolgáltatások közül az 1. melléklet A1 adatlapját kizárólag a gyártó tudja kitölteni, mivel a forgalomba hozatal adatai kizárólag a gyártó birtokában vannak. Ezzel a ponttal kapcsolatban fölvetjük még, hogy van-e értelme annak, hogy a forgalmazó, a bontó, illetve az átvevő a felügyelőség mellett ugyanezen adatokat a Nemzeti </w:t>
      </w:r>
      <w:r w:rsidRPr="00CE26B2">
        <w:t xml:space="preserve">Közlekedési </w:t>
      </w:r>
      <w:r>
        <w:t>Hatóság</w:t>
      </w:r>
      <w:r w:rsidRPr="00CE26B2">
        <w:t xml:space="preserve"> </w:t>
      </w:r>
      <w:r>
        <w:t>részére is megküldje. A 4. pontban megjelölt rendelkezés értelmében ez a hatóság gyűjti (és összesíti?) a bontási igazolásokat. Amennyiben az a jogalkotó szándéka, hogy ez a hatóság összevesse a hulladékkezelési adatokat a bontási igazolások tartalmával, a szükséges adatokat megkérheti a felügyelőségektől.</w:t>
      </w:r>
    </w:p>
    <w:p w:rsidR="00402259" w:rsidRDefault="00402259" w:rsidP="00402259">
      <w:pPr>
        <w:jc w:val="both"/>
      </w:pPr>
    </w:p>
    <w:p w:rsidR="00402259" w:rsidRPr="007F4032" w:rsidRDefault="00402259" w:rsidP="00402259">
      <w:pPr>
        <w:jc w:val="both"/>
        <w:rPr>
          <w:b/>
        </w:rPr>
      </w:pPr>
      <w:r>
        <w:t xml:space="preserve">Összefoglalva, javasoljuk a jogalkotónak, </w:t>
      </w:r>
      <w:r w:rsidR="007F4032">
        <w:t>fontolja meg</w:t>
      </w:r>
      <w:r>
        <w:t xml:space="preserve"> még egyszer az adatszolgáltatás rendszerét, különösen arra tekintettel, hogy kinek, miről, és mely hatóság felé kell adatot szolgáltatni, illetve dolgozza ki annak rendszerét, hogy a beérkező adatokat mely hatóság fogja földolgozni, hogy abból olyan országos összesítés születhessen, amely lehetőséget ad a hulladékká vált gépjárművek gyűjtésének és hasznosításának helyzet-megítélésére, valamint az Európai Unió által előírt nemzeti </w:t>
      </w:r>
      <w:r w:rsidR="00F453FA">
        <w:t>adatszolgáltatás összeállítására</w:t>
      </w:r>
      <w:r>
        <w:t>.</w:t>
      </w:r>
    </w:p>
    <w:p w:rsidR="00402259" w:rsidRDefault="00402259" w:rsidP="00402259">
      <w:pPr>
        <w:jc w:val="both"/>
      </w:pPr>
    </w:p>
    <w:p w:rsidR="007F4032" w:rsidRDefault="007F4032" w:rsidP="00402259">
      <w:pPr>
        <w:jc w:val="both"/>
      </w:pPr>
    </w:p>
    <w:p w:rsidR="00402259" w:rsidRDefault="00402259" w:rsidP="00402259">
      <w:pPr>
        <w:jc w:val="center"/>
      </w:pPr>
      <w:r>
        <w:rPr>
          <w:b/>
          <w:bCs/>
        </w:rPr>
        <w:t>A</w:t>
      </w:r>
      <w:r w:rsidRPr="00456338">
        <w:rPr>
          <w:b/>
          <w:bCs/>
        </w:rPr>
        <w:t xml:space="preserve"> hulladékkal kapcsolatos nyilvántartási és adatszolgáltatási kötelezettségekről</w:t>
      </w:r>
      <w:r>
        <w:rPr>
          <w:b/>
          <w:bCs/>
        </w:rPr>
        <w:t xml:space="preserve"> szóló Kormányrendelet tervezet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>A tervezet tartalmával szemben ellenvéleményt nem fogalmazunk meg.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</w:p>
    <w:p w:rsidR="00402259" w:rsidRDefault="00F453FA" w:rsidP="00402259">
      <w:pPr>
        <w:jc w:val="center"/>
      </w:pPr>
      <w:r>
        <w:rPr>
          <w:b/>
          <w:bCs/>
          <w:kern w:val="28"/>
        </w:rPr>
        <w:lastRenderedPageBreak/>
        <w:t>A</w:t>
      </w:r>
      <w:r w:rsidR="00402259" w:rsidRPr="00EA4668">
        <w:rPr>
          <w:b/>
          <w:bCs/>
          <w:kern w:val="28"/>
        </w:rPr>
        <w:t xml:space="preserve"> környezetvédelmi, természetvédelmi, valamint a vízügyi hatósági eljárások igazgatási szolgáltatási díjairól szóló 33/2005. (XII. 27</w:t>
      </w:r>
      <w:r w:rsidR="00402259" w:rsidRPr="00D008DE">
        <w:rPr>
          <w:b/>
          <w:bCs/>
          <w:kern w:val="28"/>
        </w:rPr>
        <w:t>.) K</w:t>
      </w:r>
      <w:r w:rsidR="00402259" w:rsidRPr="00EA4668">
        <w:rPr>
          <w:b/>
          <w:bCs/>
          <w:kern w:val="28"/>
        </w:rPr>
        <w:t xml:space="preserve">vVM </w:t>
      </w:r>
      <w:r w:rsidR="00402259" w:rsidRPr="00D008DE">
        <w:rPr>
          <w:b/>
          <w:bCs/>
          <w:kern w:val="28"/>
        </w:rPr>
        <w:t>rendelet módosításáról</w:t>
      </w:r>
      <w:r w:rsidR="00402259">
        <w:rPr>
          <w:b/>
          <w:bCs/>
          <w:kern w:val="28"/>
        </w:rPr>
        <w:t xml:space="preserve"> szóló VM rendelet tervezet</w:t>
      </w:r>
    </w:p>
    <w:p w:rsidR="00402259" w:rsidRDefault="00402259" w:rsidP="00402259">
      <w:pPr>
        <w:jc w:val="both"/>
      </w:pPr>
    </w:p>
    <w:p w:rsidR="00402259" w:rsidRPr="007F4479" w:rsidRDefault="00402259" w:rsidP="00402259">
      <w:pPr>
        <w:jc w:val="both"/>
      </w:pPr>
      <w:r>
        <w:rPr>
          <w:color w:val="000000" w:themeColor="text1"/>
        </w:rPr>
        <w:t>Az I.7-12 (a hulladékok kezelésével összefüggő) tételek esetén szembetűnő, hogy a díjak rendkívüli mértékben (60-100%) megemelkednek a jelenlegi díjtételekhez képest, miközben a felügyelőségek által elvégzett feladatok nem nőnek, hiszen lényegében ugyanazt az eljárást folytatják le, mint eddig. Az ilyen mértékű díjemelés elfogadhatatlan, indokolatlanul emeli a vállalkozások terheit, és környezetvédelmi szempontból ellenhatást vált ki, mivel ösztönöz az illegális tevékenységek végzésére. Javasoljuk a 7-12 tételek díjainak lényeges csökkentését.</w:t>
      </w:r>
    </w:p>
    <w:p w:rsidR="00402259" w:rsidRDefault="00402259" w:rsidP="00402259">
      <w:pPr>
        <w:jc w:val="both"/>
      </w:pPr>
    </w:p>
    <w:p w:rsidR="00402259" w:rsidRDefault="00402259" w:rsidP="00402259">
      <w:pPr>
        <w:pStyle w:val="NormlWeb"/>
        <w:jc w:val="center"/>
        <w:rPr>
          <w:b/>
        </w:rPr>
      </w:pPr>
      <w:r>
        <w:rPr>
          <w:b/>
        </w:rPr>
        <w:t xml:space="preserve">A közszolgáltató </w:t>
      </w:r>
      <w:r w:rsidRPr="00661295">
        <w:rPr>
          <w:b/>
          <w:bCs/>
        </w:rPr>
        <w:t>kiválasztásáról</w:t>
      </w:r>
      <w:r w:rsidRPr="00DF4BD4">
        <w:rPr>
          <w:b/>
        </w:rPr>
        <w:t xml:space="preserve"> </w:t>
      </w:r>
      <w:r>
        <w:rPr>
          <w:b/>
        </w:rPr>
        <w:t xml:space="preserve">és </w:t>
      </w:r>
      <w:r w:rsidRPr="00DF4BD4">
        <w:rPr>
          <w:b/>
        </w:rPr>
        <w:t xml:space="preserve">a </w:t>
      </w:r>
      <w:r>
        <w:rPr>
          <w:b/>
        </w:rPr>
        <w:t xml:space="preserve">hulladékgazdálkodási </w:t>
      </w:r>
      <w:r w:rsidRPr="00661295">
        <w:rPr>
          <w:b/>
          <w:bCs/>
        </w:rPr>
        <w:t>közszolgáltatási szerződésről</w:t>
      </w:r>
      <w:r>
        <w:rPr>
          <w:b/>
          <w:bCs/>
        </w:rPr>
        <w:t xml:space="preserve"> szóló Kormányrendelet tervezet</w:t>
      </w:r>
    </w:p>
    <w:p w:rsidR="00402259" w:rsidRDefault="00402259" w:rsidP="00402259">
      <w:pPr>
        <w:jc w:val="both"/>
      </w:pPr>
    </w:p>
    <w:p w:rsidR="00402259" w:rsidRPr="00833CAB" w:rsidRDefault="00402259" w:rsidP="00402259">
      <w:pPr>
        <w:jc w:val="both"/>
      </w:pPr>
      <w:r>
        <w:rPr>
          <w:b/>
        </w:rPr>
        <w:t xml:space="preserve">4. § (1): </w:t>
      </w:r>
      <w:r w:rsidRPr="0026049F">
        <w:t>A</w:t>
      </w:r>
      <w:r w:rsidRPr="0026049F">
        <w:rPr>
          <w:szCs w:val="24"/>
        </w:rPr>
        <w:t xml:space="preserve"> </w:t>
      </w:r>
      <w:r>
        <w:rPr>
          <w:szCs w:val="24"/>
        </w:rPr>
        <w:t xml:space="preserve">Ht 78. § (3) </w:t>
      </w:r>
      <w:r>
        <w:t xml:space="preserve">a következőképpen </w:t>
      </w:r>
      <w:r>
        <w:rPr>
          <w:szCs w:val="24"/>
        </w:rPr>
        <w:t>rendelkezik</w:t>
      </w:r>
      <w:r>
        <w:t>:</w:t>
      </w:r>
      <w:r>
        <w:rPr>
          <w:szCs w:val="24"/>
        </w:rPr>
        <w:t xml:space="preserve"> „A</w:t>
      </w:r>
      <w:r w:rsidRPr="00F846D5">
        <w:rPr>
          <w:szCs w:val="24"/>
        </w:rPr>
        <w:t xml:space="preserve"> közszolgáltató, illetve az (1) bekezdés szerinti gazdálkodó szervezet a közszolgáltatói hulladékgazdálkodási tervet a települési önkormányzattal egyezteti, majd azt az OHÜ-nek, valamint jóváhagyásra a környezetvédelmi hatóságnak megküldi</w:t>
      </w:r>
      <w:r w:rsidR="00F453FA">
        <w:rPr>
          <w:szCs w:val="24"/>
        </w:rPr>
        <w:t>”:</w:t>
      </w:r>
      <w:r>
        <w:rPr>
          <w:szCs w:val="24"/>
        </w:rPr>
        <w:t xml:space="preserve"> kérdés, a pályázónak lesz-e elég ideje a közbeszerzési felhívás közzététele és a beadási határidő között, hogy az önkormányzattal egyeztetett, és az OHÜ által jóváhagyatott tervet csatoljon a pályázatához. Javasoljuk ezen rendelkezések újragondolását, életszerűvé tételét.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rPr>
          <w:b/>
        </w:rPr>
        <w:t xml:space="preserve">6. § (1) a): </w:t>
      </w:r>
      <w:r>
        <w:t xml:space="preserve">Az ajánlatban a pályázónak be kell mutatnia, hogy rendelkezik a közszolgáltatás ellátásához </w:t>
      </w:r>
      <w:r w:rsidRPr="007B755B">
        <w:rPr>
          <w:szCs w:val="24"/>
        </w:rPr>
        <w:t>szükséges – hatósági engedéllyel rendelkező és megfelelő műszaki állapotban levő – járművekkel, gépekkel, berendezésekkel és eszközökkel, valamint olyan – tulajdonában, kezelésében vagy bérleményében levő – hatóságilag engedélyezett telephellyel, amely alkalmas a közszolgáltatás végzéséhez szükséges járművek, gépek, berendezések és eszközök tárolására, tisztítására, fer</w:t>
      </w:r>
      <w:r>
        <w:rPr>
          <w:szCs w:val="24"/>
        </w:rPr>
        <w:t>tőtlenítésére és műszaki ellenőrzésére. A fent leírtak alapján egyáltalán nem biztos, hogy ezekkel rendelkeznie kell. Lehet, hogy az önkormányzat mindezeket, vagy ezek egy részét biztosítani tudja a számára.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center"/>
      </w:pPr>
      <w:r>
        <w:rPr>
          <w:b/>
          <w:bCs/>
          <w:kern w:val="32"/>
        </w:rPr>
        <w:t>A</w:t>
      </w:r>
      <w:r w:rsidRPr="00C6718C">
        <w:rPr>
          <w:b/>
          <w:bCs/>
          <w:kern w:val="32"/>
        </w:rPr>
        <w:t xml:space="preserve"> hulladékról szóló törvénnyel összefüggésben egyes kormányrendeletek módosításáról</w:t>
      </w:r>
      <w:r>
        <w:rPr>
          <w:b/>
          <w:bCs/>
          <w:kern w:val="32"/>
        </w:rPr>
        <w:t xml:space="preserve"> </w:t>
      </w:r>
      <w:r>
        <w:rPr>
          <w:b/>
          <w:bCs/>
        </w:rPr>
        <w:t>szóló Kormányrendelet tervezet</w:t>
      </w:r>
    </w:p>
    <w:p w:rsidR="00402259" w:rsidRDefault="00402259" w:rsidP="00402259">
      <w:pPr>
        <w:jc w:val="both"/>
      </w:pPr>
    </w:p>
    <w:p w:rsidR="00402259" w:rsidRPr="005C307A" w:rsidRDefault="00402259" w:rsidP="00402259">
      <w:pPr>
        <w:jc w:val="center"/>
        <w:rPr>
          <w:i/>
        </w:rPr>
      </w:pPr>
      <w:r w:rsidRPr="005C307A">
        <w:rPr>
          <w:i/>
        </w:rPr>
        <w:t xml:space="preserve">9. </w:t>
      </w:r>
      <w:r w:rsidRPr="005C307A">
        <w:rPr>
          <w:i/>
          <w:szCs w:val="24"/>
        </w:rPr>
        <w:t>A környezeti hatásvizsgálati és az egységes környezethasználati engedélyezési eljárásról szóló 314/2005. (XII. 25.) Korm. rendelet</w:t>
      </w:r>
    </w:p>
    <w:p w:rsidR="00402259" w:rsidRDefault="00402259" w:rsidP="00402259">
      <w:pPr>
        <w:jc w:val="both"/>
      </w:pPr>
    </w:p>
    <w:p w:rsidR="00402259" w:rsidRDefault="00402259" w:rsidP="00402259">
      <w:pPr>
        <w:jc w:val="both"/>
      </w:pPr>
      <w:r>
        <w:t xml:space="preserve">Ha már a jogalkotó hozzányúl a rendelethez, célszerű lenne a hulladékkezelési kategóriákat a már hatályos </w:t>
      </w:r>
      <w:r w:rsidRPr="005C307A">
        <w:t>2010/75/EU</w:t>
      </w:r>
      <w:r>
        <w:t xml:space="preserve"> irányelvben fölsoroltakhoz igazítani.</w:t>
      </w:r>
    </w:p>
    <w:p w:rsidR="007F4032" w:rsidRDefault="007F4032" w:rsidP="007F4032">
      <w:pPr>
        <w:jc w:val="both"/>
      </w:pPr>
    </w:p>
    <w:p w:rsidR="00FF4820" w:rsidRDefault="00FF4820" w:rsidP="007F4032">
      <w:pPr>
        <w:jc w:val="both"/>
      </w:pPr>
    </w:p>
    <w:p w:rsidR="007F4032" w:rsidRPr="00FF4820" w:rsidRDefault="007F4032">
      <w:pPr>
        <w:jc w:val="both"/>
        <w:rPr>
          <w:b/>
          <w:i/>
        </w:rPr>
      </w:pPr>
      <w:r w:rsidRPr="007F4032">
        <w:rPr>
          <w:b/>
          <w:i/>
        </w:rPr>
        <w:t>2012. november 28.</w:t>
      </w:r>
    </w:p>
    <w:sectPr w:rsidR="007F4032" w:rsidRPr="00FF4820" w:rsidSect="002975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31" w:rsidRDefault="00EE6931">
      <w:r>
        <w:separator/>
      </w:r>
    </w:p>
  </w:endnote>
  <w:endnote w:type="continuationSeparator" w:id="0">
    <w:p w:rsidR="00EE6931" w:rsidRDefault="00EE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59" w:rsidRDefault="00B56959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230A6F" w:rsidRDefault="001F0F1C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230A6F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</w:t>
    </w:r>
    <w:r w:rsidR="001F0F1C">
      <w:rPr>
        <w:rFonts w:ascii="Clarendon Condensed" w:hAnsi="Clarendon Condensed"/>
        <w:spacing w:val="40"/>
        <w:sz w:val="20"/>
      </w:rPr>
      <w:t>860</w:t>
    </w:r>
    <w:r>
      <w:rPr>
        <w:rFonts w:ascii="Clarendon Condensed" w:hAnsi="Clarendon Condensed"/>
        <w:spacing w:val="40"/>
        <w:sz w:val="20"/>
      </w:rPr>
      <w:t xml:space="preserve"> Bp.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1F0F1C">
      <w:rPr>
        <w:rFonts w:ascii="Clarendon Condensed" w:hAnsi="Clarendon Condensed"/>
        <w:spacing w:val="40"/>
        <w:sz w:val="20"/>
      </w:rPr>
      <w:t>1- 79 51063, 1- 79 53699</w:t>
    </w:r>
    <w:r>
      <w:rPr>
        <w:rFonts w:ascii="Clarendon Condensed" w:hAnsi="Clarendon Condensed"/>
        <w:spacing w:val="40"/>
        <w:sz w:val="20"/>
      </w:rPr>
      <w:t xml:space="preserve">. Fax: </w:t>
    </w:r>
    <w:r w:rsidR="001F0F1C">
      <w:rPr>
        <w:rFonts w:ascii="Clarendon Condensed" w:hAnsi="Clarendon Condensed"/>
        <w:spacing w:val="40"/>
        <w:sz w:val="20"/>
      </w:rPr>
      <w:t>1- 79 50429</w:t>
    </w:r>
    <w:r>
      <w:rPr>
        <w:rFonts w:ascii="Clarendon Condensed" w:hAnsi="Clarendon Condensed"/>
        <w:spacing w:val="40"/>
        <w:sz w:val="20"/>
      </w:rPr>
      <w:t>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7E6C04"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230A6F" w:rsidRDefault="00230A6F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31" w:rsidRDefault="00EE6931">
      <w:r>
        <w:separator/>
      </w:r>
    </w:p>
  </w:footnote>
  <w:footnote w:type="continuationSeparator" w:id="0">
    <w:p w:rsidR="00EE6931" w:rsidRDefault="00EE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6F" w:rsidRDefault="00230A6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40421089" r:id="rId2"/>
      </w:object>
    </w:r>
  </w:p>
  <w:p w:rsidR="00230A6F" w:rsidRDefault="00230A6F">
    <w:pPr>
      <w:pStyle w:val="lfej"/>
      <w:jc w:val="center"/>
      <w:rPr>
        <w:rFonts w:ascii="Clarendon Condensed" w:hAnsi="Clarendon Condensed"/>
      </w:rPr>
    </w:pPr>
  </w:p>
  <w:p w:rsidR="0087496A" w:rsidRDefault="0087496A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B285A"/>
    <w:multiLevelType w:val="hybridMultilevel"/>
    <w:tmpl w:val="A244AA1C"/>
    <w:lvl w:ilvl="0" w:tplc="040E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B7C3ABA"/>
    <w:multiLevelType w:val="hybridMultilevel"/>
    <w:tmpl w:val="416C2DE0"/>
    <w:lvl w:ilvl="0" w:tplc="3C0A96E4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7F6"/>
    <w:rsid w:val="0003417F"/>
    <w:rsid w:val="000423D6"/>
    <w:rsid w:val="000473C3"/>
    <w:rsid w:val="00075591"/>
    <w:rsid w:val="00080183"/>
    <w:rsid w:val="00093EA7"/>
    <w:rsid w:val="000B13D8"/>
    <w:rsid w:val="000B52C0"/>
    <w:rsid w:val="000D4F12"/>
    <w:rsid w:val="000E2C5B"/>
    <w:rsid w:val="000F2CC9"/>
    <w:rsid w:val="00101B16"/>
    <w:rsid w:val="0012057F"/>
    <w:rsid w:val="001B00D1"/>
    <w:rsid w:val="001B1053"/>
    <w:rsid w:val="001C24E0"/>
    <w:rsid w:val="001D2AC7"/>
    <w:rsid w:val="001D701E"/>
    <w:rsid w:val="001E05B6"/>
    <w:rsid w:val="001E442F"/>
    <w:rsid w:val="001F0D40"/>
    <w:rsid w:val="001F0F1C"/>
    <w:rsid w:val="001F4750"/>
    <w:rsid w:val="00221634"/>
    <w:rsid w:val="0023087B"/>
    <w:rsid w:val="00230A6F"/>
    <w:rsid w:val="002647A5"/>
    <w:rsid w:val="00275BF2"/>
    <w:rsid w:val="002975FC"/>
    <w:rsid w:val="002A531F"/>
    <w:rsid w:val="002E2ADE"/>
    <w:rsid w:val="002F5B0E"/>
    <w:rsid w:val="003362F4"/>
    <w:rsid w:val="003425B7"/>
    <w:rsid w:val="003B46F7"/>
    <w:rsid w:val="003C2886"/>
    <w:rsid w:val="003E752F"/>
    <w:rsid w:val="00402259"/>
    <w:rsid w:val="00431BB3"/>
    <w:rsid w:val="00464E1B"/>
    <w:rsid w:val="00472897"/>
    <w:rsid w:val="004A5738"/>
    <w:rsid w:val="004D2917"/>
    <w:rsid w:val="004E5DD2"/>
    <w:rsid w:val="004F2071"/>
    <w:rsid w:val="004F2EA4"/>
    <w:rsid w:val="00520010"/>
    <w:rsid w:val="00525A56"/>
    <w:rsid w:val="00551F86"/>
    <w:rsid w:val="00563552"/>
    <w:rsid w:val="00563632"/>
    <w:rsid w:val="00585762"/>
    <w:rsid w:val="00594008"/>
    <w:rsid w:val="00597A62"/>
    <w:rsid w:val="005D4550"/>
    <w:rsid w:val="006728E0"/>
    <w:rsid w:val="007428D9"/>
    <w:rsid w:val="00760BE5"/>
    <w:rsid w:val="00767356"/>
    <w:rsid w:val="00796B93"/>
    <w:rsid w:val="007B0C42"/>
    <w:rsid w:val="007E540A"/>
    <w:rsid w:val="007E6C04"/>
    <w:rsid w:val="007F4032"/>
    <w:rsid w:val="0080329C"/>
    <w:rsid w:val="008103FA"/>
    <w:rsid w:val="00820116"/>
    <w:rsid w:val="0082742C"/>
    <w:rsid w:val="00846191"/>
    <w:rsid w:val="00873384"/>
    <w:rsid w:val="0087496A"/>
    <w:rsid w:val="00886B55"/>
    <w:rsid w:val="008E2B70"/>
    <w:rsid w:val="008F6763"/>
    <w:rsid w:val="009429E8"/>
    <w:rsid w:val="00956494"/>
    <w:rsid w:val="00960BC4"/>
    <w:rsid w:val="009C7BA0"/>
    <w:rsid w:val="00A11588"/>
    <w:rsid w:val="00A812AF"/>
    <w:rsid w:val="00AA6125"/>
    <w:rsid w:val="00B02F68"/>
    <w:rsid w:val="00B07B46"/>
    <w:rsid w:val="00B11A54"/>
    <w:rsid w:val="00B37C2C"/>
    <w:rsid w:val="00B56959"/>
    <w:rsid w:val="00B72F9E"/>
    <w:rsid w:val="00BA6EDA"/>
    <w:rsid w:val="00BB22C8"/>
    <w:rsid w:val="00BE2893"/>
    <w:rsid w:val="00BE6548"/>
    <w:rsid w:val="00CA1AB4"/>
    <w:rsid w:val="00D02C60"/>
    <w:rsid w:val="00D769A0"/>
    <w:rsid w:val="00D96CAE"/>
    <w:rsid w:val="00DA0561"/>
    <w:rsid w:val="00DC2A55"/>
    <w:rsid w:val="00DC3A00"/>
    <w:rsid w:val="00DE3B4E"/>
    <w:rsid w:val="00E548E1"/>
    <w:rsid w:val="00E56A74"/>
    <w:rsid w:val="00E76039"/>
    <w:rsid w:val="00EC3052"/>
    <w:rsid w:val="00EE38C9"/>
    <w:rsid w:val="00EE6931"/>
    <w:rsid w:val="00F00115"/>
    <w:rsid w:val="00F2686A"/>
    <w:rsid w:val="00F453FA"/>
    <w:rsid w:val="00F7629D"/>
    <w:rsid w:val="00F77403"/>
    <w:rsid w:val="00F83F87"/>
    <w:rsid w:val="00F937F6"/>
    <w:rsid w:val="00FA149D"/>
    <w:rsid w:val="00FB3E0B"/>
    <w:rsid w:val="00FC3D54"/>
    <w:rsid w:val="00FF327F"/>
    <w:rsid w:val="00FF4606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  <w:style w:type="paragraph" w:styleId="Listaszerbekezds">
    <w:name w:val="List Paragraph"/>
    <w:basedOn w:val="Norml"/>
    <w:uiPriority w:val="34"/>
    <w:qFormat/>
    <w:rsid w:val="00402259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zt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CF98F-23F3-48A7-9575-15AE1EF1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3618</Words>
  <Characters>24970</Characters>
  <Application>Microsoft Office Word</Application>
  <DocSecurity>0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Hulladék Vhr felülvizsgálat_2012</vt:lpstr>
    </vt:vector>
  </TitlesOfParts>
  <Company>KSZF</Company>
  <LinksUpToDate>false</LinksUpToDate>
  <CharactersWithSpaces>28531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Hulladék Vhr felülvizsgálat_2012</dc:title>
  <dc:creator>OKT</dc:creator>
  <cp:lastModifiedBy>LakatosL</cp:lastModifiedBy>
  <cp:revision>6</cp:revision>
  <cp:lastPrinted>2013-09-11T13:30:00Z</cp:lastPrinted>
  <dcterms:created xsi:type="dcterms:W3CDTF">2012-11-28T15:04:00Z</dcterms:created>
  <dcterms:modified xsi:type="dcterms:W3CDTF">2013-09-11T14:12:00Z</dcterms:modified>
</cp:coreProperties>
</file>