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23" w:rsidRDefault="00C91923" w:rsidP="00C91923">
      <w:pPr>
        <w:spacing w:after="120" w:line="276" w:lineRule="auto"/>
        <w:jc w:val="center"/>
        <w:rPr>
          <w:b/>
          <w:sz w:val="26"/>
          <w:szCs w:val="26"/>
        </w:rPr>
      </w:pPr>
    </w:p>
    <w:p w:rsidR="00982455" w:rsidRDefault="00982455" w:rsidP="00C91923">
      <w:pPr>
        <w:spacing w:after="120" w:line="276" w:lineRule="auto"/>
        <w:jc w:val="center"/>
        <w:rPr>
          <w:b/>
          <w:sz w:val="26"/>
          <w:szCs w:val="26"/>
        </w:rPr>
      </w:pPr>
      <w:r w:rsidRPr="00982455">
        <w:rPr>
          <w:b/>
          <w:sz w:val="26"/>
          <w:szCs w:val="26"/>
        </w:rPr>
        <w:t>Az Országos Környezetvédelmi Tanács javaslatai a Termékdíj törvény korszerűsítésére</w:t>
      </w:r>
    </w:p>
    <w:p w:rsidR="00C91923" w:rsidRPr="00982455" w:rsidRDefault="00C91923" w:rsidP="00C91923">
      <w:pPr>
        <w:spacing w:after="120" w:line="276" w:lineRule="auto"/>
        <w:jc w:val="center"/>
        <w:rPr>
          <w:b/>
          <w:sz w:val="26"/>
          <w:szCs w:val="26"/>
        </w:rPr>
      </w:pP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b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t>1. Az OKT állásfoglalásai a Termékdíj törvény (</w:t>
      </w:r>
      <w:proofErr w:type="spellStart"/>
      <w:r w:rsidRPr="00982455">
        <w:rPr>
          <w:rFonts w:eastAsia="Calibri"/>
          <w:b/>
          <w:szCs w:val="24"/>
          <w:lang w:eastAsia="en-US"/>
        </w:rPr>
        <w:t>KTdT</w:t>
      </w:r>
      <w:proofErr w:type="spellEnd"/>
      <w:r w:rsidRPr="00982455">
        <w:rPr>
          <w:rFonts w:eastAsia="Calibri"/>
          <w:b/>
          <w:szCs w:val="24"/>
          <w:lang w:eastAsia="en-US"/>
        </w:rPr>
        <w:t>) 2011 évi alapvető módosítása óta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 xml:space="preserve">A </w:t>
      </w:r>
      <w:proofErr w:type="spellStart"/>
      <w:r w:rsidRPr="00982455">
        <w:rPr>
          <w:rFonts w:eastAsia="Calibri"/>
          <w:szCs w:val="24"/>
          <w:lang w:eastAsia="en-US"/>
        </w:rPr>
        <w:t>KTdT</w:t>
      </w:r>
      <w:proofErr w:type="spellEnd"/>
      <w:r w:rsidRPr="00982455">
        <w:rPr>
          <w:rFonts w:eastAsia="Calibri"/>
          <w:szCs w:val="24"/>
          <w:lang w:eastAsia="en-US"/>
        </w:rPr>
        <w:t xml:space="preserve"> 2011. évi benyújtása óta az egyik leggyakrabban módosított szabályozás a magyar környezeti jogban. Az OKT folyamatosan figyelemmel kísérte a törvény és végrehajtási rendeletei módosításait és azok hatását az ország környezeti mutatóira. A témában 6 állásfoglalást alakított ki a 2013-2016 között eltelt időszakban, miután meghallgatta az érintett állami szervezetek (FM, NFM, OHÜ, NHI) illetékes vezetőinek tájékoztatásait. A törvény által szabályozott legnagyobb hulladékáram, a csomagolási hulladékok vonatkozásában az illetékes hatóságok (NAV, OHÜ, NHI) és az érintett Szakmai Szövetségek adatai alapján szakértőink elemezték a bevezetés óta eltelt időszak környezeti mutatóinak alakulását, és a kialakított rendszer működését.</w:t>
      </w:r>
    </w:p>
    <w:p w:rsid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>Jelen állásfoglalás az elemzések alapján összeállított ajánlást tartalmazza a Kormány részére a Tanács által szükségesnek tartott módosításokról.</w:t>
      </w:r>
      <w:r w:rsidR="005F40A6">
        <w:rPr>
          <w:rFonts w:eastAsia="Calibri"/>
          <w:szCs w:val="24"/>
          <w:lang w:eastAsia="en-US"/>
        </w:rPr>
        <w:t xml:space="preserve"> Az Országos Környezetvédelmi Tanács folytatni tervezi az „ésszerű (hulladék</w:t>
      </w:r>
      <w:proofErr w:type="gramStart"/>
      <w:r w:rsidR="005F40A6">
        <w:rPr>
          <w:rFonts w:eastAsia="Calibri"/>
          <w:szCs w:val="24"/>
          <w:lang w:eastAsia="en-US"/>
        </w:rPr>
        <w:t>)anyag-gazdálkodást</w:t>
      </w:r>
      <w:proofErr w:type="gramEnd"/>
      <w:r w:rsidR="005F40A6">
        <w:rPr>
          <w:rFonts w:eastAsia="Calibri"/>
          <w:szCs w:val="24"/>
          <w:lang w:eastAsia="en-US"/>
        </w:rPr>
        <w:t xml:space="preserve"> támogató rendszer</w:t>
      </w:r>
      <w:r w:rsidR="005F40A6">
        <w:rPr>
          <w:rFonts w:eastAsia="Calibri"/>
          <w:szCs w:val="24"/>
          <w:lang w:eastAsia="en-US"/>
        </w:rPr>
        <w:t>”</w:t>
      </w:r>
      <w:r w:rsidR="005F40A6">
        <w:rPr>
          <w:rFonts w:eastAsia="Calibri"/>
          <w:szCs w:val="24"/>
          <w:lang w:eastAsia="en-US"/>
        </w:rPr>
        <w:t xml:space="preserve"> megvalósítását előmozdító javaslatok kidolgozását, beleértve a hulladék-anyagáramok csökkentését, a hulladékok keletkezése megelőzését szolgáló társadalmi tudatformálásra vonatkozó javaslatok megfogalmazását is.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b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t>2. A csomagolási hulladékok kezelésével kapcsolatos EU irányelv teljesítésének elemzése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>A csomagolási hulladékok a hulladékáramok jelentős hányadát –mintegy évi 1,</w:t>
      </w:r>
      <w:proofErr w:type="spellStart"/>
      <w:r w:rsidRPr="00982455">
        <w:rPr>
          <w:rFonts w:eastAsia="Calibri"/>
          <w:szCs w:val="24"/>
          <w:lang w:eastAsia="en-US"/>
        </w:rPr>
        <w:t>1</w:t>
      </w:r>
      <w:proofErr w:type="spellEnd"/>
      <w:r w:rsidRPr="00982455">
        <w:rPr>
          <w:rFonts w:eastAsia="Calibri"/>
          <w:szCs w:val="24"/>
          <w:lang w:eastAsia="en-US"/>
        </w:rPr>
        <w:t xml:space="preserve"> M tonnát –képezik Magyarországon. Az EU szintjén ez az egyik leginkább szabályozott hulladékgazdálkodási terület, jól kialakult gyakorlattal a kezelési megoldások tekintetében. Általánosan elterjedt a kötelezettek bevonásával működtetett EPR (kiterjesztett gyártói felelősség) alapú rendszerek alkalmazása. Az EU körforgásos gazdaság iniciatívája keretében jelentősen változnak a települési hulladékok, ezen belül a csomagolási hulladékok kezelésével kapcsolatos célok, növekednek az </w:t>
      </w:r>
      <w:proofErr w:type="spellStart"/>
      <w:r w:rsidRPr="00982455">
        <w:rPr>
          <w:rFonts w:eastAsia="Calibri"/>
          <w:szCs w:val="24"/>
          <w:lang w:eastAsia="en-US"/>
        </w:rPr>
        <w:t>újrahasználatra</w:t>
      </w:r>
      <w:proofErr w:type="spellEnd"/>
      <w:r w:rsidRPr="00982455">
        <w:rPr>
          <w:rFonts w:eastAsia="Calibri"/>
          <w:szCs w:val="24"/>
          <w:lang w:eastAsia="en-US"/>
        </w:rPr>
        <w:t xml:space="preserve"> illetve újrafeldolgozásra vonatkozó irányszámok.</w:t>
      </w:r>
    </w:p>
    <w:p w:rsid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 xml:space="preserve">Magyarország 2012-ben áttért az állami irányítású hasznosítást szervező rendszerre, ahol főszabályként a kötelezettek kötelezettségüket termékdíj fizetésével teljesítik, és állami szervezetek (OHÜ majd NHI, majd FM illetve NHKV) feladata a rendelkezésükre bocsátott költségvetési források felhasználásával a gyűjtés és hasznosítás szervezése. Az új rendszer </w:t>
      </w:r>
      <w:r w:rsidRPr="00982455">
        <w:rPr>
          <w:rFonts w:eastAsia="Calibri"/>
          <w:szCs w:val="24"/>
          <w:lang w:eastAsia="en-US"/>
        </w:rPr>
        <w:lastRenderedPageBreak/>
        <w:t xml:space="preserve">bevezetésével egyidejűleg a gazdálkodó szervezetek (és rajtuk keresztül a fogyasztók) csomagolási hulladékokkal kapcsolatos terhei megduplázódtak és </w:t>
      </w:r>
      <w:proofErr w:type="gramStart"/>
      <w:r w:rsidRPr="00982455">
        <w:rPr>
          <w:rFonts w:eastAsia="Calibri"/>
          <w:szCs w:val="24"/>
          <w:lang w:eastAsia="en-US"/>
        </w:rPr>
        <w:t>azóta</w:t>
      </w:r>
      <w:proofErr w:type="gramEnd"/>
      <w:r w:rsidRPr="00982455">
        <w:rPr>
          <w:rFonts w:eastAsia="Calibri"/>
          <w:szCs w:val="24"/>
          <w:lang w:eastAsia="en-US"/>
        </w:rPr>
        <w:t xml:space="preserve"> is növekszenek.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>A környezetvédelmi és társadalmi hatékonyság elemzése a következő képet mutatja:</w:t>
      </w:r>
    </w:p>
    <w:p w:rsid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t>2.1.</w:t>
      </w:r>
      <w:r w:rsidRPr="00982455">
        <w:rPr>
          <w:rFonts w:eastAsia="Calibri"/>
          <w:szCs w:val="24"/>
          <w:lang w:eastAsia="en-US"/>
        </w:rPr>
        <w:t xml:space="preserve"> Az újrafeldolgozási arány (</w:t>
      </w:r>
      <w:proofErr w:type="spellStart"/>
      <w:r w:rsidRPr="00982455">
        <w:rPr>
          <w:rFonts w:eastAsia="Calibri"/>
          <w:szCs w:val="24"/>
          <w:lang w:eastAsia="en-US"/>
        </w:rPr>
        <w:t>recycling</w:t>
      </w:r>
      <w:proofErr w:type="spellEnd"/>
      <w:r w:rsidRPr="00982455">
        <w:rPr>
          <w:rFonts w:eastAsia="Calibri"/>
          <w:szCs w:val="24"/>
          <w:lang w:eastAsia="en-US"/>
        </w:rPr>
        <w:t xml:space="preserve"> %) 2012 óta minden évben elmarad az EU irányelvben rögzített követelményektől, és jelentősen alacsonyabb az EU által tervezett céloknál</w:t>
      </w:r>
      <w:r>
        <w:rPr>
          <w:rFonts w:eastAsia="Calibri"/>
          <w:szCs w:val="24"/>
          <w:lang w:eastAsia="en-US"/>
        </w:rPr>
        <w:t>.</w:t>
      </w:r>
    </w:p>
    <w:p w:rsidR="00982455" w:rsidRPr="00982455" w:rsidRDefault="00982455" w:rsidP="00C91923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>1. táblázat: Kötelező és teljesített hasznosítási arányok</w:t>
      </w:r>
    </w:p>
    <w:tbl>
      <w:tblPr>
        <w:tblpPr w:leftFromText="141" w:rightFromText="141" w:vertAnchor="text" w:horzAnchor="page" w:tblpXSpec="center" w:tblpY="3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1850"/>
        <w:gridCol w:w="1852"/>
        <w:gridCol w:w="2749"/>
      </w:tblGrid>
      <w:tr w:rsidR="00982455" w:rsidRPr="00982455" w:rsidTr="00982455">
        <w:trPr>
          <w:trHeight w:val="454"/>
        </w:trPr>
        <w:tc>
          <w:tcPr>
            <w:tcW w:w="152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93" w:type="pct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EU irányelvben rögzített kötelező hasznosítási arány (</w:t>
            </w:r>
            <w:proofErr w:type="spellStart"/>
            <w:r w:rsidRPr="00982455">
              <w:rPr>
                <w:rFonts w:eastAsia="Calibri"/>
                <w:szCs w:val="24"/>
                <w:lang w:eastAsia="en-US"/>
              </w:rPr>
              <w:t>recycling</w:t>
            </w:r>
            <w:proofErr w:type="spellEnd"/>
            <w:r w:rsidRPr="00982455">
              <w:rPr>
                <w:rFonts w:eastAsia="Calibri"/>
                <w:szCs w:val="24"/>
                <w:lang w:eastAsia="en-US"/>
              </w:rPr>
              <w:t xml:space="preserve"> %)</w:t>
            </w:r>
          </w:p>
        </w:tc>
        <w:tc>
          <w:tcPr>
            <w:tcW w:w="1480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Magyarország teljesítése 2014-ben (</w:t>
            </w:r>
            <w:proofErr w:type="spellStart"/>
            <w:r w:rsidRPr="00982455">
              <w:rPr>
                <w:rFonts w:eastAsia="Calibri"/>
                <w:szCs w:val="24"/>
                <w:lang w:eastAsia="en-US"/>
              </w:rPr>
              <w:t>recycling</w:t>
            </w:r>
            <w:proofErr w:type="spellEnd"/>
            <w:r w:rsidRPr="00982455">
              <w:rPr>
                <w:rFonts w:eastAsia="Calibri"/>
                <w:szCs w:val="24"/>
                <w:lang w:eastAsia="en-US"/>
              </w:rPr>
              <w:t xml:space="preserve"> %)</w:t>
            </w:r>
          </w:p>
        </w:tc>
      </w:tr>
      <w:tr w:rsidR="00982455" w:rsidRPr="00982455" w:rsidTr="00982455">
        <w:trPr>
          <w:trHeight w:val="454"/>
        </w:trPr>
        <w:tc>
          <w:tcPr>
            <w:tcW w:w="152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6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2012-től</w:t>
            </w:r>
          </w:p>
        </w:tc>
        <w:tc>
          <w:tcPr>
            <w:tcW w:w="99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2025-től tervezett</w:t>
            </w:r>
          </w:p>
        </w:tc>
        <w:tc>
          <w:tcPr>
            <w:tcW w:w="1480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82455" w:rsidRPr="00982455" w:rsidTr="00982455">
        <w:trPr>
          <w:trHeight w:val="454"/>
        </w:trPr>
        <w:tc>
          <w:tcPr>
            <w:tcW w:w="152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Összes újrahasznált és an</w:t>
            </w:r>
            <w:r w:rsidR="00F604EC">
              <w:rPr>
                <w:rFonts w:eastAsia="Calibri"/>
                <w:szCs w:val="24"/>
                <w:lang w:eastAsia="en-US"/>
              </w:rPr>
              <w:t>yagában hasznosított csomagolás</w:t>
            </w:r>
            <w:r w:rsidR="00F604EC" w:rsidRPr="00F604EC">
              <w:rPr>
                <w:rFonts w:eastAsia="Calibri"/>
                <w:b/>
                <w:szCs w:val="24"/>
                <w:lang w:eastAsia="en-US"/>
              </w:rPr>
              <w:t>*</w:t>
            </w:r>
          </w:p>
        </w:tc>
        <w:tc>
          <w:tcPr>
            <w:tcW w:w="996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55</w:t>
            </w:r>
          </w:p>
        </w:tc>
        <w:tc>
          <w:tcPr>
            <w:tcW w:w="99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65</w:t>
            </w:r>
          </w:p>
        </w:tc>
        <w:tc>
          <w:tcPr>
            <w:tcW w:w="1480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52,3</w:t>
            </w:r>
            <w:r w:rsidR="00847C55">
              <w:rPr>
                <w:rFonts w:eastAsia="Calibri"/>
                <w:szCs w:val="24"/>
                <w:lang w:eastAsia="en-US"/>
              </w:rPr>
              <w:t>**</w:t>
            </w:r>
          </w:p>
        </w:tc>
      </w:tr>
      <w:tr w:rsidR="00982455" w:rsidRPr="00982455" w:rsidTr="00982455">
        <w:trPr>
          <w:trHeight w:val="454"/>
        </w:trPr>
        <w:tc>
          <w:tcPr>
            <w:tcW w:w="152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Ebből: Műanyag </w:t>
            </w:r>
          </w:p>
        </w:tc>
        <w:tc>
          <w:tcPr>
            <w:tcW w:w="996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22,5</w:t>
            </w:r>
          </w:p>
        </w:tc>
        <w:tc>
          <w:tcPr>
            <w:tcW w:w="99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55</w:t>
            </w:r>
          </w:p>
        </w:tc>
        <w:tc>
          <w:tcPr>
            <w:tcW w:w="1480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36,7</w:t>
            </w:r>
          </w:p>
        </w:tc>
      </w:tr>
      <w:tr w:rsidR="00982455" w:rsidRPr="00982455" w:rsidTr="00982455">
        <w:trPr>
          <w:trHeight w:val="454"/>
        </w:trPr>
        <w:tc>
          <w:tcPr>
            <w:tcW w:w="152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Fa </w:t>
            </w:r>
          </w:p>
        </w:tc>
        <w:tc>
          <w:tcPr>
            <w:tcW w:w="996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15</w:t>
            </w:r>
          </w:p>
        </w:tc>
        <w:tc>
          <w:tcPr>
            <w:tcW w:w="99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60</w:t>
            </w:r>
          </w:p>
        </w:tc>
        <w:tc>
          <w:tcPr>
            <w:tcW w:w="1480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31,2</w:t>
            </w:r>
          </w:p>
        </w:tc>
      </w:tr>
      <w:tr w:rsidR="00982455" w:rsidRPr="00982455" w:rsidTr="00982455">
        <w:trPr>
          <w:trHeight w:val="454"/>
        </w:trPr>
        <w:tc>
          <w:tcPr>
            <w:tcW w:w="152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Fém </w:t>
            </w:r>
          </w:p>
        </w:tc>
        <w:tc>
          <w:tcPr>
            <w:tcW w:w="996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50</w:t>
            </w:r>
          </w:p>
        </w:tc>
        <w:tc>
          <w:tcPr>
            <w:tcW w:w="99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75</w:t>
            </w:r>
          </w:p>
        </w:tc>
        <w:tc>
          <w:tcPr>
            <w:tcW w:w="1480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83,5</w:t>
            </w:r>
            <w:r w:rsidR="00847C55">
              <w:rPr>
                <w:rFonts w:eastAsia="Calibri"/>
                <w:szCs w:val="24"/>
                <w:lang w:eastAsia="en-US"/>
              </w:rPr>
              <w:t>**</w:t>
            </w:r>
          </w:p>
        </w:tc>
      </w:tr>
      <w:tr w:rsidR="00982455" w:rsidRPr="00982455" w:rsidTr="00982455">
        <w:trPr>
          <w:trHeight w:val="454"/>
        </w:trPr>
        <w:tc>
          <w:tcPr>
            <w:tcW w:w="152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Üveg </w:t>
            </w:r>
          </w:p>
        </w:tc>
        <w:tc>
          <w:tcPr>
            <w:tcW w:w="996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60</w:t>
            </w:r>
          </w:p>
        </w:tc>
        <w:tc>
          <w:tcPr>
            <w:tcW w:w="99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75</w:t>
            </w:r>
          </w:p>
        </w:tc>
        <w:tc>
          <w:tcPr>
            <w:tcW w:w="1480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36,3</w:t>
            </w:r>
          </w:p>
        </w:tc>
      </w:tr>
      <w:tr w:rsidR="00982455" w:rsidRPr="00982455" w:rsidTr="00982455">
        <w:trPr>
          <w:trHeight w:val="454"/>
        </w:trPr>
        <w:tc>
          <w:tcPr>
            <w:tcW w:w="152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Papír </w:t>
            </w:r>
          </w:p>
        </w:tc>
        <w:tc>
          <w:tcPr>
            <w:tcW w:w="996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60</w:t>
            </w:r>
          </w:p>
        </w:tc>
        <w:tc>
          <w:tcPr>
            <w:tcW w:w="997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75</w:t>
            </w:r>
          </w:p>
        </w:tc>
        <w:tc>
          <w:tcPr>
            <w:tcW w:w="1480" w:type="pc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455" w:rsidRPr="00982455" w:rsidRDefault="00982455" w:rsidP="00F604EC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66,1</w:t>
            </w:r>
            <w:r w:rsidR="00F604EC">
              <w:rPr>
                <w:rFonts w:eastAsia="Calibri"/>
                <w:szCs w:val="24"/>
                <w:lang w:eastAsia="en-US"/>
              </w:rPr>
              <w:t>**</w:t>
            </w:r>
          </w:p>
        </w:tc>
      </w:tr>
    </w:tbl>
    <w:p w:rsidR="00F604EC" w:rsidRPr="00F604EC" w:rsidRDefault="00F604EC" w:rsidP="00F604EC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F604EC">
        <w:rPr>
          <w:rFonts w:eastAsia="Calibri"/>
          <w:szCs w:val="24"/>
          <w:lang w:eastAsia="en-US"/>
        </w:rPr>
        <w:t>*</w:t>
      </w:r>
      <w:r>
        <w:rPr>
          <w:rFonts w:eastAsia="Calibri"/>
          <w:szCs w:val="24"/>
          <w:lang w:eastAsia="en-US"/>
        </w:rPr>
        <w:t xml:space="preserve"> </w:t>
      </w:r>
      <w:r w:rsidRPr="00F604EC">
        <w:rPr>
          <w:rFonts w:eastAsia="Calibri"/>
          <w:szCs w:val="24"/>
          <w:lang w:eastAsia="en-US"/>
        </w:rPr>
        <w:t>Megfontolásra javasoljuk az újrahasznosítás</w:t>
      </w:r>
      <w:r>
        <w:rPr>
          <w:rFonts w:eastAsia="Calibri"/>
          <w:szCs w:val="24"/>
          <w:lang w:eastAsia="en-US"/>
        </w:rPr>
        <w:t xml:space="preserve"> arányának</w:t>
      </w:r>
      <w:r w:rsidRPr="00F604EC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cél</w:t>
      </w:r>
      <w:r w:rsidR="00847C55">
        <w:rPr>
          <w:rFonts w:eastAsia="Calibri"/>
          <w:szCs w:val="24"/>
          <w:lang w:eastAsia="en-US"/>
        </w:rPr>
        <w:t>kitűzésében</w:t>
      </w:r>
      <w:r>
        <w:rPr>
          <w:rFonts w:eastAsia="Calibri"/>
          <w:szCs w:val="24"/>
          <w:lang w:eastAsia="en-US"/>
        </w:rPr>
        <w:t xml:space="preserve"> a 80%-ot.</w:t>
      </w:r>
    </w:p>
    <w:p w:rsidR="00982455" w:rsidRDefault="00F604EC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**</w:t>
      </w:r>
      <w:r w:rsidR="00982455" w:rsidRPr="00982455">
        <w:rPr>
          <w:rFonts w:eastAsia="Calibri"/>
          <w:szCs w:val="24"/>
          <w:lang w:eastAsia="en-US"/>
        </w:rPr>
        <w:t xml:space="preserve"> Szakmai Szövetségek által vitatott adat</w:t>
      </w:r>
      <w:r w:rsidR="00847C55">
        <w:rPr>
          <w:rFonts w:eastAsia="Calibri"/>
          <w:szCs w:val="24"/>
          <w:lang w:eastAsia="en-US"/>
        </w:rPr>
        <w:t>ok</w:t>
      </w:r>
    </w:p>
    <w:p w:rsidR="00C91923" w:rsidRDefault="00C91923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br w:type="page"/>
      </w:r>
    </w:p>
    <w:p w:rsid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lastRenderedPageBreak/>
        <w:t>2.2.</w:t>
      </w:r>
      <w:r w:rsidRPr="00982455">
        <w:rPr>
          <w:rFonts w:eastAsia="Calibri"/>
          <w:szCs w:val="24"/>
          <w:lang w:eastAsia="en-US"/>
        </w:rPr>
        <w:t xml:space="preserve"> Nemzetközi összehasonlításban Magyarország az EU leggyengébben teljesítő országai közé esett vissza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>2. táblázat</w:t>
      </w:r>
      <w:r w:rsidR="00847C55">
        <w:rPr>
          <w:rFonts w:eastAsia="Calibri"/>
          <w:szCs w:val="24"/>
          <w:lang w:eastAsia="en-US"/>
        </w:rPr>
        <w:t>:</w:t>
      </w:r>
      <w:r w:rsidRPr="00982455">
        <w:rPr>
          <w:rFonts w:eastAsia="Calibri"/>
          <w:szCs w:val="24"/>
          <w:lang w:eastAsia="en-US"/>
        </w:rPr>
        <w:t xml:space="preserve"> </w:t>
      </w:r>
      <w:proofErr w:type="spellStart"/>
      <w:r w:rsidRPr="00982455">
        <w:rPr>
          <w:rFonts w:eastAsia="Calibri"/>
          <w:szCs w:val="24"/>
          <w:lang w:eastAsia="en-US"/>
        </w:rPr>
        <w:t>Recycling</w:t>
      </w:r>
      <w:proofErr w:type="spellEnd"/>
      <w:r w:rsidRPr="00982455">
        <w:rPr>
          <w:rFonts w:eastAsia="Calibri"/>
          <w:szCs w:val="24"/>
          <w:lang w:eastAsia="en-US"/>
        </w:rPr>
        <w:t xml:space="preserve"> arányok 2014-ben</w:t>
      </w:r>
    </w:p>
    <w:p w:rsid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noProof/>
          <w:szCs w:val="24"/>
        </w:rPr>
        <w:drawing>
          <wp:inline distT="0" distB="0" distL="0" distR="0" wp14:anchorId="59ED6801" wp14:editId="03BBD924">
            <wp:extent cx="5757545" cy="2960370"/>
            <wp:effectExtent l="0" t="0" r="0" b="0"/>
            <wp:docPr id="1" name="Kép 1" descr="M:\WORKS\OKO Pannon UJ evad\_Prezik 2016\galli prezi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M:\WORKS\OKO Pannon UJ evad\_Prezik 2016\galli prezi\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22"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96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923" w:rsidRPr="00982455" w:rsidRDefault="00C91923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</w:p>
    <w:p w:rsidR="00C91923" w:rsidRDefault="00C91923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br w:type="page"/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lastRenderedPageBreak/>
        <w:t>2.3.</w:t>
      </w:r>
      <w:r w:rsidRPr="00982455">
        <w:rPr>
          <w:rFonts w:eastAsia="Calibri"/>
          <w:szCs w:val="24"/>
          <w:lang w:eastAsia="en-US"/>
        </w:rPr>
        <w:t xml:space="preserve"> miközben a gazdálkodó szervezeteket és rajtuk keresztül a fogyasztókat terhelő költségek az EU élvonalába tartoznak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>3. táblázat</w:t>
      </w:r>
      <w:r w:rsidR="00847C55">
        <w:rPr>
          <w:rFonts w:eastAsia="Calibri"/>
          <w:szCs w:val="24"/>
          <w:lang w:eastAsia="en-US"/>
        </w:rPr>
        <w:t>:</w:t>
      </w:r>
      <w:r w:rsidRPr="00982455">
        <w:rPr>
          <w:rFonts w:eastAsia="Calibri"/>
          <w:szCs w:val="24"/>
          <w:lang w:eastAsia="en-US"/>
        </w:rPr>
        <w:t xml:space="preserve"> A fogyasztókat terhelő költség (csomagolási termékdíj)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noProof/>
          <w:szCs w:val="24"/>
        </w:rPr>
        <w:drawing>
          <wp:inline distT="0" distB="0" distL="0" distR="0" wp14:anchorId="3885E37F" wp14:editId="03754161">
            <wp:extent cx="5966114" cy="2826618"/>
            <wp:effectExtent l="0" t="0" r="0" b="0"/>
            <wp:docPr id="5" name="Kép 5" descr="M:\WORKS\OKO Pannon UJ evad\_Prezik 2016\galli prezi\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M:\WORKS\OKO Pannon UJ evad\_Prezik 2016\galli prezi\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47" b="12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14" cy="2826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923" w:rsidRDefault="00C91923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</w:p>
    <w:p w:rsidR="00C91923" w:rsidRDefault="00C91923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br w:type="page"/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lastRenderedPageBreak/>
        <w:t>2.4.</w:t>
      </w:r>
      <w:r w:rsidRPr="00982455">
        <w:rPr>
          <w:rFonts w:eastAsia="Calibri"/>
          <w:szCs w:val="24"/>
          <w:lang w:eastAsia="en-US"/>
        </w:rPr>
        <w:t xml:space="preserve"> A belföldi csomagolási termékdíj bevételek folyamatosan emelkednek, ugyanakkor a fajlagos gyűjtési és hasznosítási ráfordítások csökkennek.2014-ben a termékdíj bevétel 18,8%-át fordították a hasznosítás közvetlen finanszírozására, a 2016. évi tervadatok szerint ez az arány 17,7% lesz.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>4. táblázat</w:t>
      </w:r>
      <w:r w:rsidR="00847C55">
        <w:rPr>
          <w:rFonts w:eastAsia="Calibri"/>
          <w:szCs w:val="24"/>
          <w:lang w:eastAsia="en-US"/>
        </w:rPr>
        <w:t>:</w:t>
      </w:r>
      <w:r w:rsidRPr="00982455">
        <w:rPr>
          <w:rFonts w:eastAsia="Calibri"/>
          <w:szCs w:val="24"/>
          <w:lang w:eastAsia="en-US"/>
        </w:rPr>
        <w:t xml:space="preserve"> A fajlagos bevételek és kiadások valamint a hasznosítási teljesítmény alakulása</w:t>
      </w:r>
    </w:p>
    <w:tbl>
      <w:tblPr>
        <w:tblpPr w:leftFromText="141" w:rightFromText="141" w:vertAnchor="text" w:horzAnchor="margin" w:tblpY="79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1053"/>
        <w:gridCol w:w="1054"/>
        <w:gridCol w:w="1054"/>
        <w:gridCol w:w="1054"/>
        <w:gridCol w:w="1054"/>
        <w:gridCol w:w="1054"/>
      </w:tblGrid>
      <w:tr w:rsidR="00982455" w:rsidRPr="00982455" w:rsidTr="00077311">
        <w:trPr>
          <w:trHeight w:val="397"/>
        </w:trPr>
        <w:tc>
          <w:tcPr>
            <w:tcW w:w="16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982455">
              <w:rPr>
                <w:rFonts w:eastAsia="Calibri"/>
                <w:b/>
                <w:szCs w:val="24"/>
                <w:lang w:eastAsia="en-US"/>
              </w:rPr>
              <w:t xml:space="preserve">Év </w:t>
            </w:r>
          </w:p>
        </w:tc>
        <w:tc>
          <w:tcPr>
            <w:tcW w:w="5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982455">
              <w:rPr>
                <w:rFonts w:eastAsia="Calibri"/>
                <w:b/>
                <w:szCs w:val="24"/>
                <w:lang w:eastAsia="en-US"/>
              </w:rPr>
              <w:t xml:space="preserve">2011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982455">
              <w:rPr>
                <w:rFonts w:eastAsia="Calibri"/>
                <w:b/>
                <w:szCs w:val="24"/>
                <w:lang w:eastAsia="en-US"/>
              </w:rPr>
              <w:t xml:space="preserve">2012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982455">
              <w:rPr>
                <w:rFonts w:eastAsia="Calibri"/>
                <w:b/>
                <w:szCs w:val="24"/>
                <w:lang w:eastAsia="en-US"/>
              </w:rPr>
              <w:t xml:space="preserve">2013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982455">
              <w:rPr>
                <w:rFonts w:eastAsia="Calibri"/>
                <w:b/>
                <w:szCs w:val="24"/>
                <w:lang w:eastAsia="en-US"/>
              </w:rPr>
              <w:t xml:space="preserve">2014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982455">
              <w:rPr>
                <w:rFonts w:eastAsia="Calibri"/>
                <w:b/>
                <w:szCs w:val="24"/>
                <w:lang w:eastAsia="en-US"/>
              </w:rPr>
              <w:t xml:space="preserve">2015T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982455">
              <w:rPr>
                <w:rFonts w:eastAsia="Calibri"/>
                <w:b/>
                <w:szCs w:val="24"/>
                <w:lang w:eastAsia="en-US"/>
              </w:rPr>
              <w:t xml:space="preserve">2016T </w:t>
            </w:r>
          </w:p>
        </w:tc>
      </w:tr>
      <w:tr w:rsidR="00982455" w:rsidRPr="00982455" w:rsidTr="00077311">
        <w:trPr>
          <w:trHeight w:val="397"/>
        </w:trPr>
        <w:tc>
          <w:tcPr>
            <w:tcW w:w="16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Éves termékdíj bevétel </w:t>
            </w:r>
            <w:proofErr w:type="spellStart"/>
            <w:r w:rsidRPr="00982455">
              <w:rPr>
                <w:rFonts w:eastAsia="Calibri"/>
                <w:szCs w:val="24"/>
                <w:lang w:eastAsia="en-US"/>
              </w:rPr>
              <w:t>MFt</w:t>
            </w:r>
            <w:proofErr w:type="spellEnd"/>
            <w:r w:rsidRPr="00982455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  <w:tc>
          <w:tcPr>
            <w:tcW w:w="5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6900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34900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30008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32600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37000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38300 </w:t>
            </w:r>
          </w:p>
        </w:tc>
      </w:tr>
      <w:tr w:rsidR="00982455" w:rsidRPr="00982455" w:rsidTr="00077311">
        <w:trPr>
          <w:trHeight w:val="397"/>
        </w:trPr>
        <w:tc>
          <w:tcPr>
            <w:tcW w:w="16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Éves termékdíj bevétel a kibocsátás arányában (Ft/kg) </w:t>
            </w:r>
          </w:p>
        </w:tc>
        <w:tc>
          <w:tcPr>
            <w:tcW w:w="5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19,0*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34,5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30,1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32,4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33,5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34,4 </w:t>
            </w:r>
          </w:p>
        </w:tc>
      </w:tr>
      <w:tr w:rsidR="00982455" w:rsidRPr="00982455" w:rsidTr="00077311">
        <w:trPr>
          <w:trHeight w:val="397"/>
        </w:trPr>
        <w:tc>
          <w:tcPr>
            <w:tcW w:w="16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Fajlagos ráfordítás a hasznosítás arányában (Ft/kg) </w:t>
            </w:r>
          </w:p>
        </w:tc>
        <w:tc>
          <w:tcPr>
            <w:tcW w:w="5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18,0**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9,7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9,4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10,3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9,</w:t>
            </w:r>
            <w:proofErr w:type="spellStart"/>
            <w:r w:rsidRPr="00982455">
              <w:rPr>
                <w:rFonts w:eastAsia="Calibri"/>
                <w:szCs w:val="24"/>
                <w:lang w:eastAsia="en-US"/>
              </w:rPr>
              <w:t>9</w:t>
            </w:r>
            <w:proofErr w:type="spellEnd"/>
            <w:r w:rsidRPr="00982455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9,5 </w:t>
            </w:r>
          </w:p>
        </w:tc>
      </w:tr>
      <w:tr w:rsidR="00982455" w:rsidRPr="00982455" w:rsidTr="00077311">
        <w:trPr>
          <w:trHeight w:val="397"/>
        </w:trPr>
        <w:tc>
          <w:tcPr>
            <w:tcW w:w="16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Hasznosítási teljesítmény anyagában (</w:t>
            </w:r>
            <w:proofErr w:type="spellStart"/>
            <w:r w:rsidRPr="00982455">
              <w:rPr>
                <w:rFonts w:eastAsia="Calibri"/>
                <w:szCs w:val="24"/>
                <w:lang w:eastAsia="en-US"/>
              </w:rPr>
              <w:t>recycling</w:t>
            </w:r>
            <w:proofErr w:type="spellEnd"/>
            <w:r w:rsidRPr="00982455">
              <w:rPr>
                <w:rFonts w:eastAsia="Calibri"/>
                <w:szCs w:val="24"/>
                <w:lang w:eastAsia="en-US"/>
              </w:rPr>
              <w:t xml:space="preserve"> %) </w:t>
            </w:r>
          </w:p>
        </w:tc>
        <w:tc>
          <w:tcPr>
            <w:tcW w:w="5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59,3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49,1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50,1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52,3 (?)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55,0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49,2 </w:t>
            </w:r>
          </w:p>
        </w:tc>
      </w:tr>
      <w:tr w:rsidR="00982455" w:rsidRPr="00982455" w:rsidTr="00077311">
        <w:trPr>
          <w:trHeight w:val="397"/>
        </w:trPr>
        <w:tc>
          <w:tcPr>
            <w:tcW w:w="16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Ellenőrzött, fizetett hasznosítási teljesítmény (</w:t>
            </w:r>
            <w:proofErr w:type="spellStart"/>
            <w:r w:rsidRPr="00982455">
              <w:rPr>
                <w:rFonts w:eastAsia="Calibri"/>
                <w:szCs w:val="24"/>
                <w:lang w:eastAsia="en-US"/>
              </w:rPr>
              <w:t>recycling</w:t>
            </w:r>
            <w:proofErr w:type="spellEnd"/>
            <w:r w:rsidRPr="00982455">
              <w:rPr>
                <w:rFonts w:eastAsia="Calibri"/>
                <w:szCs w:val="24"/>
                <w:lang w:eastAsia="en-US"/>
              </w:rPr>
              <w:t xml:space="preserve"> %) </w:t>
            </w:r>
          </w:p>
        </w:tc>
        <w:tc>
          <w:tcPr>
            <w:tcW w:w="5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58,0**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37,7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35,7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34,8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34,7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39,3 </w:t>
            </w:r>
          </w:p>
        </w:tc>
      </w:tr>
      <w:tr w:rsidR="00982455" w:rsidRPr="00982455" w:rsidTr="00077311">
        <w:trPr>
          <w:trHeight w:val="397"/>
        </w:trPr>
        <w:tc>
          <w:tcPr>
            <w:tcW w:w="16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>Gyűjtési teljesítmény (</w:t>
            </w:r>
            <w:proofErr w:type="spellStart"/>
            <w:r w:rsidRPr="00982455">
              <w:rPr>
                <w:rFonts w:eastAsia="Calibri"/>
                <w:szCs w:val="24"/>
                <w:lang w:eastAsia="en-US"/>
              </w:rPr>
              <w:t>recovery</w:t>
            </w:r>
            <w:proofErr w:type="spellEnd"/>
            <w:r w:rsidRPr="00982455">
              <w:rPr>
                <w:rFonts w:eastAsia="Calibri"/>
                <w:szCs w:val="24"/>
                <w:lang w:eastAsia="en-US"/>
              </w:rPr>
              <w:t xml:space="preserve"> %) </w:t>
            </w:r>
          </w:p>
        </w:tc>
        <w:tc>
          <w:tcPr>
            <w:tcW w:w="5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62,9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60,1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60,3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59,7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65,1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455" w:rsidRPr="00982455" w:rsidRDefault="00982455" w:rsidP="00C91923">
            <w:pPr>
              <w:spacing w:after="120"/>
              <w:jc w:val="both"/>
              <w:rPr>
                <w:rFonts w:eastAsia="Calibri"/>
                <w:szCs w:val="24"/>
                <w:lang w:eastAsia="en-US"/>
              </w:rPr>
            </w:pPr>
            <w:r w:rsidRPr="00982455">
              <w:rPr>
                <w:rFonts w:eastAsia="Calibri"/>
                <w:szCs w:val="24"/>
                <w:lang w:eastAsia="en-US"/>
              </w:rPr>
              <w:t xml:space="preserve">63,9 </w:t>
            </w:r>
          </w:p>
        </w:tc>
      </w:tr>
    </w:tbl>
    <w:p w:rsidR="00982455" w:rsidRPr="00982455" w:rsidRDefault="00982455" w:rsidP="00C91923">
      <w:pPr>
        <w:spacing w:after="120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>*    Termékdíj + licencdíj</w:t>
      </w:r>
    </w:p>
    <w:p w:rsidR="00982455" w:rsidRPr="00982455" w:rsidRDefault="00982455" w:rsidP="00C91923">
      <w:pPr>
        <w:spacing w:after="120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 xml:space="preserve">**  Koordináló szervezetek adata 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</w:p>
    <w:p w:rsidR="00C91923" w:rsidRDefault="00C91923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br w:type="page"/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lastRenderedPageBreak/>
        <w:t>2.5.</w:t>
      </w:r>
      <w:r w:rsidRPr="00982455">
        <w:rPr>
          <w:rFonts w:eastAsia="Calibri"/>
          <w:szCs w:val="24"/>
          <w:lang w:eastAsia="en-US"/>
        </w:rPr>
        <w:t xml:space="preserve"> A költségvetési finanszírozással elért és ellenőrzött hasznosítási eredmény az EU felé közölt teljesítménynek csak 2/3-a. Ez azt jelenti, hogy a költségvetés csak részben finanszírozza a termékdíjat befizető kötelezettekre jutó hasznosítási feladat teljesítését. A fennmaradó 1/3 a </w:t>
      </w:r>
      <w:proofErr w:type="spellStart"/>
      <w:r w:rsidRPr="00982455">
        <w:rPr>
          <w:rFonts w:eastAsia="Calibri"/>
          <w:szCs w:val="24"/>
          <w:lang w:eastAsia="en-US"/>
        </w:rPr>
        <w:t>HIR-ből</w:t>
      </w:r>
      <w:proofErr w:type="spellEnd"/>
      <w:r w:rsidRPr="00982455">
        <w:rPr>
          <w:rFonts w:eastAsia="Calibri"/>
          <w:szCs w:val="24"/>
          <w:lang w:eastAsia="en-US"/>
        </w:rPr>
        <w:t xml:space="preserve"> származó ellenőrizetlen adat, melynek következtében olyan hasznosítást is tartalmaz(hat), amely nem számolható el csomagolási </w:t>
      </w:r>
      <w:proofErr w:type="gramStart"/>
      <w:r w:rsidRPr="00982455">
        <w:rPr>
          <w:rFonts w:eastAsia="Calibri"/>
          <w:szCs w:val="24"/>
          <w:lang w:eastAsia="en-US"/>
        </w:rPr>
        <w:t>hulladék hasznosításként</w:t>
      </w:r>
      <w:proofErr w:type="gramEnd"/>
      <w:r w:rsidRPr="00982455">
        <w:rPr>
          <w:rFonts w:eastAsia="Calibri"/>
          <w:szCs w:val="24"/>
          <w:lang w:eastAsia="en-US"/>
        </w:rPr>
        <w:t xml:space="preserve"> (gyártásközi hulladék).</w:t>
      </w:r>
    </w:p>
    <w:p w:rsidR="00982455" w:rsidRPr="00982455" w:rsidRDefault="00847C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5. táblázat:</w:t>
      </w:r>
      <w:bookmarkStart w:id="0" w:name="_GoBack"/>
      <w:bookmarkEnd w:id="0"/>
      <w:r w:rsidR="00982455" w:rsidRPr="00982455">
        <w:rPr>
          <w:rFonts w:eastAsia="Calibri"/>
          <w:szCs w:val="24"/>
          <w:lang w:eastAsia="en-US"/>
        </w:rPr>
        <w:t xml:space="preserve"> Hasznosítási teljesítmény alakulása, újrafeldolgozás (</w:t>
      </w:r>
      <w:proofErr w:type="spellStart"/>
      <w:r w:rsidR="00982455" w:rsidRPr="00982455">
        <w:rPr>
          <w:rFonts w:eastAsia="Calibri"/>
          <w:szCs w:val="24"/>
          <w:lang w:eastAsia="en-US"/>
        </w:rPr>
        <w:t>recycling</w:t>
      </w:r>
      <w:proofErr w:type="spellEnd"/>
      <w:r w:rsidR="00982455" w:rsidRPr="00982455">
        <w:rPr>
          <w:rFonts w:eastAsia="Calibri"/>
          <w:szCs w:val="24"/>
          <w:lang w:eastAsia="en-US"/>
        </w:rPr>
        <w:t>)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noProof/>
          <w:szCs w:val="24"/>
        </w:rPr>
        <w:drawing>
          <wp:inline distT="0" distB="0" distL="0" distR="0" wp14:anchorId="452ADCEC" wp14:editId="186A1CAF">
            <wp:extent cx="5758815" cy="2934970"/>
            <wp:effectExtent l="0" t="0" r="0" b="0"/>
            <wp:docPr id="6" name="Kép 2" descr="G:\_PREZIK\_Prezik 2016\galli miklos prezi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_PREZIK\_Prezik 2016\galli miklos prezi\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22"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93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923" w:rsidRDefault="00C91923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t>2.6.</w:t>
      </w:r>
      <w:r w:rsidRPr="00982455">
        <w:rPr>
          <w:rFonts w:eastAsia="Calibri"/>
          <w:szCs w:val="24"/>
          <w:lang w:eastAsia="en-US"/>
        </w:rPr>
        <w:t xml:space="preserve"> A csökkenő fajlagos ráfordítások hatékonysága tovább romlik azáltal, hogy a gyűjtési és hasznosítási tenderek kiírása általában az év második felében, visszamenőlegesen történik, így a rendszer nem biztosít kiszámítható és folyamatos finanszírozást a résztvevő nyertes vállalkozások számára sem. A jelenleg alkalmazott közbeszerzés helyett egy pályázati rendszer sokkal rugalmasabb lehetőséget biztosíthatna a gyűjtési és hasznosítási feladatok megszervezésére. A tenderkiírások a belföldi hasznosító esetében szigorúbb feltételeket szabnak, mint a külföldi hasznosítás esetében, ahol nem biztosított az adatok ellenőrizhetősége. Nem világos az NHI/FM és NHKV/NFM feladatmegosztása sem a közbeszerzési rendszer működtetésében. Ugyanakkor azt is problémának látjuk, hogy a sok érdekelt szereplő ellenére nincs olyan kiemelt szervezet, amely olyan értelemben lenne felelős az EU-s hasznosítási célokért, hogy annak alakulására érdemben befolyással lenne, ennek alakulását folyamatosan nyomon követné, szükség esetén beavatkozna. Ennek hiányában ma úgy néz ki a rendszer, hogy csak másfél év elteltével tudjuk összegezni az eredményeket, és </w:t>
      </w:r>
      <w:r w:rsidRPr="00982455">
        <w:rPr>
          <w:rFonts w:eastAsia="Calibri"/>
          <w:szCs w:val="24"/>
          <w:lang w:eastAsia="en-US"/>
        </w:rPr>
        <w:lastRenderedPageBreak/>
        <w:t>ekkor tudjuk meg, hogyan „sikerült” az egyébként minden szereplő által célul kitűzött EU-s értékek megvalósítása.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t>2.7.</w:t>
      </w:r>
      <w:r w:rsidRPr="00982455">
        <w:rPr>
          <w:rFonts w:eastAsia="Calibri"/>
          <w:szCs w:val="24"/>
          <w:lang w:eastAsia="en-US"/>
        </w:rPr>
        <w:t xml:space="preserve"> Az egyéni teljesítés, mint a kiterjesztett gyártói felelősség (EPR) gyakorlásának közvetlen eszköze méltatlanul kis szerephez jut a hasznosítási rendszerben. A NAV adatai szerint 2015-ben 19800 kötelezett közül mindössze 51 gazdálkodó szerv (0,26%) tudott élni ezzel a lehetőséggel. A motiváció hiányának oka a hatóságok jogszabály értelmezésének ellentmondásaiban valamint a diszkriminatív adózásban keresendők.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t>2.8.</w:t>
      </w:r>
      <w:r w:rsidRPr="00982455">
        <w:rPr>
          <w:rFonts w:eastAsia="Calibri"/>
          <w:szCs w:val="24"/>
          <w:lang w:eastAsia="en-US"/>
        </w:rPr>
        <w:t xml:space="preserve"> A </w:t>
      </w:r>
      <w:proofErr w:type="spellStart"/>
      <w:r w:rsidRPr="00982455">
        <w:rPr>
          <w:rFonts w:eastAsia="Calibri"/>
          <w:szCs w:val="24"/>
          <w:lang w:eastAsia="en-US"/>
        </w:rPr>
        <w:t>KTdT</w:t>
      </w:r>
      <w:proofErr w:type="spellEnd"/>
      <w:r w:rsidRPr="00982455">
        <w:rPr>
          <w:rFonts w:eastAsia="Calibri"/>
          <w:szCs w:val="24"/>
          <w:lang w:eastAsia="en-US"/>
        </w:rPr>
        <w:t xml:space="preserve"> alanyi és tárgyi hatálya 2012 óta nem egyezik meg az EU kiterjesztett gyártói felelősségi rendszere szerinti alanyi és tárgyi hatállyal. Míg az EU szabályozás a csomagolásra, a magyar a csomagolószerre (is) vonatkozik. Ennek következménye egy bonyolult átvállalási rendszer a teljes csomagolási láncban. Eredménye a megnövekedett adminisztráció mellett az, hogy Magyarország bevallott hasznosítási kötelezettsége nagyobb, mint az EU-val azonos hatály mellett lenne.(tartalmazza az egyes gyártási fázisok hulladékát, a kereskedelmi láncban keletkező halmozódásokat stb.)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>Mindemellett 2015-ben a NAV adatai szerint az 1.226 ezer tonnát kitevő összes bevallott csomagolási hulladékból az átvállalások 1.015 ezer tonnát képviseltek, tehát a rendszer önként konvergál a csomagolások felé.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t>2.9.</w:t>
      </w:r>
      <w:r w:rsidRPr="00982455">
        <w:rPr>
          <w:rFonts w:eastAsia="Calibri"/>
          <w:szCs w:val="24"/>
          <w:lang w:eastAsia="en-US"/>
        </w:rPr>
        <w:t xml:space="preserve"> A bevallások adminisztrációja rendkívül bonyolult (8 jegyű CSK kód; tömeg adatok kg-ban 2 </w:t>
      </w:r>
      <w:proofErr w:type="spellStart"/>
      <w:r w:rsidRPr="00982455">
        <w:rPr>
          <w:rFonts w:eastAsia="Calibri"/>
          <w:szCs w:val="24"/>
          <w:lang w:eastAsia="en-US"/>
        </w:rPr>
        <w:t>tizedesjegy</w:t>
      </w:r>
      <w:proofErr w:type="spellEnd"/>
      <w:r w:rsidRPr="00982455">
        <w:rPr>
          <w:rFonts w:eastAsia="Calibri"/>
          <w:szCs w:val="24"/>
          <w:lang w:eastAsia="en-US"/>
        </w:rPr>
        <w:t xml:space="preserve"> pontossággal) és költséges.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t>2.10.</w:t>
      </w:r>
      <w:r w:rsidRPr="00982455">
        <w:rPr>
          <w:rFonts w:eastAsia="Calibri"/>
          <w:szCs w:val="24"/>
          <w:lang w:eastAsia="en-US"/>
        </w:rPr>
        <w:t xml:space="preserve"> Az érintett gazdasági szereplőket a rendszer nem motiválja, sőt távol tartja őket az ország hasznosítási teljesítményének javításától. A szakmai és civil szervezetek nem tudják nyomon követni a teljesítést sem, az elért eredményekről 1,5-2 év elteltével kaphatnak információt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b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t>3. Következtetések, javaslatok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t>3.1.</w:t>
      </w:r>
      <w:r w:rsidR="00C91923">
        <w:rPr>
          <w:rFonts w:eastAsia="Calibri"/>
          <w:b/>
          <w:szCs w:val="24"/>
          <w:lang w:eastAsia="en-US"/>
        </w:rPr>
        <w:t xml:space="preserve"> </w:t>
      </w:r>
      <w:r w:rsidRPr="00982455">
        <w:rPr>
          <w:rFonts w:eastAsia="Calibri"/>
          <w:szCs w:val="24"/>
          <w:lang w:eastAsia="en-US"/>
        </w:rPr>
        <w:t xml:space="preserve">Megfontolásra javasoljuk a törvény alanyi és tárgyi hatályának megváltoztatását a csomagolószerről a csomagolásra és annak gyártójára, ugyanakkor javasoljuk az átalánydíjas rendszer felülvizsgálatát és érdemi bővítését a kis volumenű csomagoló cégek lefedése érdekében. Javasoljuk a CSK kódok egyszerűsítését (8-ról 4 számjegyre való szűkítés) és a tömeg bevallása során a </w:t>
      </w:r>
      <w:proofErr w:type="spellStart"/>
      <w:r w:rsidRPr="00982455">
        <w:rPr>
          <w:rFonts w:eastAsia="Calibri"/>
          <w:szCs w:val="24"/>
          <w:lang w:eastAsia="en-US"/>
        </w:rPr>
        <w:t>tizedesjegyek</w:t>
      </w:r>
      <w:proofErr w:type="spellEnd"/>
      <w:r w:rsidRPr="00982455">
        <w:rPr>
          <w:rFonts w:eastAsia="Calibri"/>
          <w:szCs w:val="24"/>
          <w:lang w:eastAsia="en-US"/>
        </w:rPr>
        <w:t xml:space="preserve"> mellőzését.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t>3.2.</w:t>
      </w:r>
      <w:r w:rsidRPr="00982455">
        <w:rPr>
          <w:rFonts w:eastAsia="Calibri"/>
          <w:szCs w:val="24"/>
          <w:lang w:eastAsia="en-US"/>
        </w:rPr>
        <w:t xml:space="preserve"> A kollektív teljesítés terén emelni szükséges a gyűjtési és hasznosítási ráfordításokat, különösen a szelektív gyűjtéssel elérhető területeken és ott, ahol a hasznosítási kapacitások adottak Magyarországon (papír, fém műanyagok). Ugyanakkor a termékdíjat fizető kötelezettekre jutó hasznosítási feladat teljesítését a törvény értelmében a költségvetésből kell finanszírozni ellenőrzött körülmények között. Ehhez a befizetett termékdíjak lényegesen </w:t>
      </w:r>
      <w:r w:rsidRPr="00982455">
        <w:rPr>
          <w:rFonts w:eastAsia="Calibri"/>
          <w:szCs w:val="24"/>
          <w:lang w:eastAsia="en-US"/>
        </w:rPr>
        <w:lastRenderedPageBreak/>
        <w:t>nagyobb hányadát kell közvetlenül a gyűjtés és hasznosítás finanszírozására fordítani. A tendereket lehetőleg hosszabb távra, a tárgyidőszakot megelőzően szükséges kiírni és elbírálni. A kiírás és a teljesítés ellenőrzése során biztosítani kell azt, hogy csak a rendszerben elszámolható hulladékok kerüljenek figyelembevételre. Azonos feltételeket kell kiírni a hasznosítás relációjától függetlenül és kerülni kell az ellenőrzést megnehezítő engedményeket.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 xml:space="preserve">A befizetett termékdíj egy részéből szükségszerű az </w:t>
      </w:r>
      <w:proofErr w:type="spellStart"/>
      <w:r w:rsidRPr="00982455">
        <w:rPr>
          <w:rFonts w:eastAsia="Calibri"/>
          <w:szCs w:val="24"/>
          <w:lang w:eastAsia="en-US"/>
        </w:rPr>
        <w:t>újrahasználati</w:t>
      </w:r>
      <w:proofErr w:type="spellEnd"/>
      <w:r w:rsidRPr="00982455">
        <w:rPr>
          <w:rFonts w:eastAsia="Calibri"/>
          <w:szCs w:val="24"/>
          <w:lang w:eastAsia="en-US"/>
        </w:rPr>
        <w:t xml:space="preserve"> rendszerek, illetve azok Unió felé történő elszámolhatóságának megteremtése. Hazánk ezen a téren rendkívüli mértékben elmaradott az uniós országokhoz képest. Az EU által előírt kötelezettség teljesítése e rendszereken keresztül is megvalósulhat úgy, hogy közben Magyarország a hulladékos hierarchia egy magasabb fokára lép.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>Az előírt hasznosítási arányok teljesítése elképzelhetetlen a lakosság aktív közreműködése nélkül. Elengedhetetlen tehát az, hogy – a hasznosítási kapacitások finanszírozása mellett - a lakossági tájékoztatásra, ismeretbővítésre is jóval nagyobb mértékű és a jelenleginél nagyságrendekkel hatékonyabb kommunikációs keret jusson a termékdíjból.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t>3.3.</w:t>
      </w:r>
      <w:r w:rsidRPr="00982455">
        <w:rPr>
          <w:rFonts w:eastAsia="Calibri"/>
          <w:szCs w:val="24"/>
          <w:lang w:eastAsia="en-US"/>
        </w:rPr>
        <w:t xml:space="preserve"> Rövidtávon javasoljuk a közbeszerzés helyett pályázati rendszer alkalmazását, amely lehetőséget teremtene egy rugalmas, világpiaci árakhoz igazodó és folyamatos finanszírozást biztosító támogatási rendszer kialakítására.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>Középtávon javasoljuk a termékdíj zöldadó és hasznosítási díj funkcióinak szétválasztását, és a szükségletekhez igazodó hasznosítási díj bevezetését, amely teljes mértékben a környezetvédelmi feladat teljesítését célozza. A hasznosítási díj eredményes felhasználása érdekében szükséges lenne anyagáramonként egy-egy olyan koordináló szervezet felállítása, amely az érdekelt gyártók és az állam képviselőjének 51-49%-os tulajdonában vannak. Ezzel az állami szereplők megfelelő rálátást kapnának a hasznosítás menetére és költségeire, ugyanakkor a rendszenek több előnye lenne, amely orvosolná a 2. pontban ismertetett problémákat:</w:t>
      </w:r>
    </w:p>
    <w:p w:rsidR="00982455" w:rsidRPr="00982455" w:rsidRDefault="00982455" w:rsidP="00C91923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 xml:space="preserve">ez a szervezeti forma lehetővé tenné az állami költségvetés éves periódusától való elszakadást, a </w:t>
      </w:r>
      <w:proofErr w:type="gramStart"/>
      <w:r w:rsidRPr="00982455">
        <w:rPr>
          <w:rFonts w:eastAsia="Calibri"/>
          <w:szCs w:val="24"/>
          <w:lang w:eastAsia="en-US"/>
        </w:rPr>
        <w:t>pénz rendelkezésre</w:t>
      </w:r>
      <w:proofErr w:type="gramEnd"/>
      <w:r w:rsidRPr="00982455">
        <w:rPr>
          <w:rFonts w:eastAsia="Calibri"/>
          <w:szCs w:val="24"/>
          <w:lang w:eastAsia="en-US"/>
        </w:rPr>
        <w:t xml:space="preserve"> állása</w:t>
      </w:r>
      <w:r w:rsidR="00F604EC">
        <w:rPr>
          <w:rFonts w:eastAsia="Calibri"/>
          <w:szCs w:val="24"/>
          <w:lang w:eastAsia="en-US"/>
        </w:rPr>
        <w:t xml:space="preserve"> </w:t>
      </w:r>
      <w:r w:rsidRPr="00982455">
        <w:rPr>
          <w:rFonts w:eastAsia="Calibri"/>
          <w:szCs w:val="24"/>
          <w:lang w:eastAsia="en-US"/>
        </w:rPr>
        <w:t>késedelmének elkerülését;</w:t>
      </w:r>
    </w:p>
    <w:p w:rsidR="00982455" w:rsidRPr="00982455" w:rsidRDefault="00982455" w:rsidP="00C91923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>a többségi magán tulajdon biztosítaná a rugalmasabb pályáztatási környezetet, valamint a rugalmasabb kifizetéseket;</w:t>
      </w:r>
    </w:p>
    <w:p w:rsidR="00982455" w:rsidRPr="00982455" w:rsidRDefault="00982455" w:rsidP="00C91923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>ezt a szervezetet deklaráltan felelőssé lehetne tenni az adott anyagáramban előírt EU-s hasznosítási célértékek teljesítéséért, illetve a teljesítmények évközi alakulásának nyomon követéséért, szükség esetén beavatkozhatna többlet teljesítmények vásárlásával akkor, amikor már láthatóvá válik</w:t>
      </w:r>
      <w:proofErr w:type="gramStart"/>
      <w:r w:rsidRPr="00982455">
        <w:rPr>
          <w:rFonts w:eastAsia="Calibri"/>
          <w:szCs w:val="24"/>
          <w:lang w:eastAsia="en-US"/>
        </w:rPr>
        <w:t>,  hogy</w:t>
      </w:r>
      <w:proofErr w:type="gramEnd"/>
      <w:r w:rsidRPr="00982455">
        <w:rPr>
          <w:rFonts w:eastAsia="Calibri"/>
          <w:szCs w:val="24"/>
          <w:lang w:eastAsia="en-US"/>
        </w:rPr>
        <w:t xml:space="preserve"> az előírt célok – várhatóan – nem teljesülnének 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lastRenderedPageBreak/>
        <w:t>A fenti rendszer biztosítaná hosszú távon a rendszer stabilitást, illetve megadná az országos hasznosítási arányok folyamatos teljesülésének garanciáit.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t>3.4.</w:t>
      </w:r>
      <w:r w:rsidRPr="00982455">
        <w:rPr>
          <w:rFonts w:eastAsia="Calibri"/>
          <w:szCs w:val="24"/>
          <w:lang w:eastAsia="en-US"/>
        </w:rPr>
        <w:t xml:space="preserve"> Az egyéni teljesítés korlátait célszerű megszüntetni. A közreműködő telephelyének az egyéni gyűjtésbe való bevonása tekintetében ellentmondás van a magyar hatóságoknak az EU illetve a kötelezettek felé megküldött jogszabály értelmezésében, amelyet az Uniós joggal való ütközés mellett azért is meg kell szüntetni, mert a saját telephely kizárólagos előírása a környezetvédelem érdekeit is sértené és kizárná az egyéni teljesítésből a kötelezettek nagy részét</w:t>
      </w:r>
      <w:r w:rsidR="00F604EC">
        <w:rPr>
          <w:rFonts w:eastAsia="Calibri"/>
          <w:szCs w:val="24"/>
          <w:lang w:eastAsia="en-US"/>
        </w:rPr>
        <w:t>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>Javasoljuk a 2015 januárjától bevezetett- nyilvánvalóan diszkriminatív-egyéni adószabályok felülvizsgálatát és módosítását annak érdekében, hogy a termékdíj adótartalma a teljesítés módjától és a csomagolóanyag fajtájától függetlenül azonos legyen.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>Korábbi állásfoglalásainkban foglaltakat megerősítve javasoljuk ugyanakkor az ösztönzés kiterjesztését az országos teljesítési hányad feletti hasznosításra is az ország hasznosítási teljesítményének növelése érdekében.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t>3.5.</w:t>
      </w:r>
      <w:r w:rsidRPr="00982455">
        <w:rPr>
          <w:rFonts w:eastAsia="Calibri"/>
          <w:szCs w:val="24"/>
          <w:lang w:eastAsia="en-US"/>
        </w:rPr>
        <w:t xml:space="preserve"> Javasoljuk áttekinteni az országos teljesítés számbavételének számítási módszerét, figyelembe vehető összetevőit, szükség esetén javasoljuk módosítani a HIR adatszolgáltatás részletezését. Az adatszolgáltatás ellenőrzésébe célszerű bevonni a kötelezettek és a hasznosításban közreműködők szakmai szervezeteit. Véleményünk szerint nagyban hozzájárulna a rendszerműködés javításához egy széleskörű szakmai egyeztetés az OGYHT és OHKT tervezése és megvalósulásának nyomon követése során.</w:t>
      </w:r>
    </w:p>
    <w:p w:rsidR="00982455" w:rsidRPr="00982455" w:rsidRDefault="00982455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b/>
          <w:szCs w:val="24"/>
          <w:lang w:eastAsia="en-US"/>
        </w:rPr>
        <w:t>3.6.</w:t>
      </w:r>
      <w:r w:rsidRPr="00982455">
        <w:rPr>
          <w:rFonts w:eastAsia="Calibri"/>
          <w:szCs w:val="24"/>
          <w:lang w:eastAsia="en-US"/>
        </w:rPr>
        <w:t xml:space="preserve"> A lakosságnak, mint végfogyasztónak alig van ismerete arról, hogy egy-egy termék vásárlásakor gyakorlatilag termékdíjat fizet, és hogy annak valójában mi a célja. A termékdíj a helyes – környezettudatos – választást segítené elő, azonban ha ezzel nincs tisztában a lakos, akkor nem is lesz szempont a fogyasztói döntésekben. Javasoljuk, hogy a környezetvédelmi termékdíjjal kapcsolatban induljon széles körű tájékoztatás.</w:t>
      </w:r>
    </w:p>
    <w:p w:rsidR="00982455" w:rsidRPr="00982455" w:rsidRDefault="00F604EC" w:rsidP="00C91923">
      <w:pPr>
        <w:spacing w:after="120" w:line="276" w:lineRule="auto"/>
        <w:jc w:val="both"/>
        <w:rPr>
          <w:rFonts w:eastAsia="Calibri"/>
          <w:szCs w:val="24"/>
          <w:lang w:eastAsia="en-US"/>
        </w:rPr>
      </w:pPr>
      <w:r w:rsidRPr="00F604EC">
        <w:rPr>
          <w:rFonts w:eastAsia="Calibri"/>
          <w:b/>
          <w:szCs w:val="24"/>
          <w:lang w:eastAsia="en-US"/>
        </w:rPr>
        <w:t>3.7.</w:t>
      </w:r>
      <w:r>
        <w:rPr>
          <w:rFonts w:eastAsia="Calibri"/>
          <w:szCs w:val="24"/>
          <w:lang w:eastAsia="en-US"/>
        </w:rPr>
        <w:t xml:space="preserve"> </w:t>
      </w:r>
      <w:proofErr w:type="gramStart"/>
      <w:r>
        <w:rPr>
          <w:rFonts w:eastAsia="Calibri"/>
          <w:szCs w:val="24"/>
          <w:lang w:eastAsia="en-US"/>
        </w:rPr>
        <w:t>Az Országos Környezetvédelmi Tanács ismételten javasolja (egy) Termékdíj Tanács létrehozását valamennyi – a rendszerben érintett – szereplő, közöttük a szakmai civil (NGO) szervezetek részvételével, amely előmozdítaná az itt felsorolt javaslatok társadalmi alkalmazásba vételét és a célul kitűzött „ésszerű hulladékanyag-gazdálkodás</w:t>
      </w:r>
      <w:r w:rsidR="009F462C">
        <w:rPr>
          <w:rFonts w:eastAsia="Calibri"/>
          <w:szCs w:val="24"/>
          <w:lang w:eastAsia="en-US"/>
        </w:rPr>
        <w:t xml:space="preserve">t támogató rendszer” megvalósítása érdekében részint az anyagáram fajták használatának korlátozására, részint a környezetvédelmi termékdíj befizetéséből származó költségvetési </w:t>
      </w:r>
      <w:r w:rsidR="009F462C">
        <w:rPr>
          <w:rFonts w:eastAsia="Calibri"/>
          <w:szCs w:val="24"/>
          <w:lang w:eastAsia="en-US"/>
        </w:rPr>
        <w:t>forrás</w:t>
      </w:r>
      <w:r w:rsidR="009F462C">
        <w:rPr>
          <w:rFonts w:eastAsia="Calibri"/>
          <w:szCs w:val="24"/>
          <w:lang w:eastAsia="en-US"/>
        </w:rPr>
        <w:t xml:space="preserve"> környezetvédelmi, valamint a környezetgazdálkodást fejlesztő programok finanszírozására</w:t>
      </w:r>
      <w:proofErr w:type="gramEnd"/>
      <w:r w:rsidR="009F462C">
        <w:rPr>
          <w:rFonts w:eastAsia="Calibri"/>
          <w:szCs w:val="24"/>
          <w:lang w:eastAsia="en-US"/>
        </w:rPr>
        <w:t xml:space="preserve"> </w:t>
      </w:r>
      <w:proofErr w:type="gramStart"/>
      <w:r w:rsidR="009F462C">
        <w:rPr>
          <w:rFonts w:eastAsia="Calibri"/>
          <w:szCs w:val="24"/>
          <w:lang w:eastAsia="en-US"/>
        </w:rPr>
        <w:t>vonatkozó</w:t>
      </w:r>
      <w:proofErr w:type="gramEnd"/>
      <w:r w:rsidR="009F462C">
        <w:rPr>
          <w:rFonts w:eastAsia="Calibri"/>
          <w:szCs w:val="24"/>
          <w:lang w:eastAsia="en-US"/>
        </w:rPr>
        <w:t xml:space="preserve"> további javaslatok kidolgozását.</w:t>
      </w:r>
    </w:p>
    <w:p w:rsidR="00982455" w:rsidRPr="00982455" w:rsidRDefault="00982455" w:rsidP="009F462C">
      <w:pPr>
        <w:spacing w:before="240" w:line="276" w:lineRule="auto"/>
        <w:jc w:val="both"/>
        <w:rPr>
          <w:rFonts w:eastAsia="Calibri"/>
          <w:szCs w:val="24"/>
          <w:lang w:eastAsia="en-US"/>
        </w:rPr>
      </w:pPr>
      <w:r w:rsidRPr="00982455">
        <w:rPr>
          <w:rFonts w:eastAsia="Calibri"/>
          <w:szCs w:val="24"/>
          <w:lang w:eastAsia="en-US"/>
        </w:rPr>
        <w:t>2016. December</w:t>
      </w:r>
    </w:p>
    <w:sectPr w:rsidR="00982455" w:rsidRPr="00982455" w:rsidSect="002975F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A7" w:rsidRDefault="000917A7">
      <w:r>
        <w:separator/>
      </w:r>
    </w:p>
  </w:endnote>
  <w:endnote w:type="continuationSeparator" w:id="0">
    <w:p w:rsidR="000917A7" w:rsidRDefault="0009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 Budapest, Kossuth tér 11.</w:t>
    </w:r>
  </w:p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F62078" w:rsidRDefault="00F62078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1- 79 51063, 1- 79 53699. Fax: 1- 79 50429.</w:t>
    </w:r>
  </w:p>
  <w:p w:rsidR="00F62078" w:rsidRDefault="00F62078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="00280B3A" w:rsidRPr="00095C0B">
        <w:rPr>
          <w:rStyle w:val="Hiperhivatkozs"/>
          <w:rFonts w:ascii="Clarendon Condensed" w:hAnsi="Clarendon Condensed"/>
          <w:spacing w:val="40"/>
          <w:sz w:val="20"/>
        </w:rPr>
        <w:t>okttitk@fm.gov.hu</w:t>
      </w:r>
    </w:hyperlink>
  </w:p>
  <w:p w:rsidR="00F62078" w:rsidRPr="002031B2" w:rsidRDefault="00F62078" w:rsidP="00F77403">
    <w:pPr>
      <w:pStyle w:val="llb"/>
      <w:jc w:val="center"/>
      <w:rPr>
        <w:rFonts w:ascii="Clarendon Condensed" w:hAnsi="Clarendon Condensed"/>
        <w:color w:val="000000" w:themeColor="text1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A7" w:rsidRDefault="000917A7">
      <w:r>
        <w:separator/>
      </w:r>
    </w:p>
  </w:footnote>
  <w:footnote w:type="continuationSeparator" w:id="0">
    <w:p w:rsidR="000917A7" w:rsidRDefault="0009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78" w:rsidRDefault="00F62078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.2pt" o:ole="">
          <v:imagedata r:id="rId1" o:title=""/>
        </v:shape>
        <o:OLEObject Type="Embed" ProgID="MSPhotoEd.3" ShapeID="_x0000_i1025" DrawAspect="Content" ObjectID="_1543735641" r:id="rId2"/>
      </w:object>
    </w:r>
  </w:p>
  <w:p w:rsidR="00F62078" w:rsidRDefault="00F62078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737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7" w:hanging="360"/>
      </w:pPr>
      <w:rPr>
        <w:rFonts w:ascii="Wingdings" w:hAnsi="Wingdings"/>
      </w:rPr>
    </w:lvl>
  </w:abstractNum>
  <w:abstractNum w:abstractNumId="2">
    <w:nsid w:val="0F590E51"/>
    <w:multiLevelType w:val="hybridMultilevel"/>
    <w:tmpl w:val="BC5EF7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741BFD"/>
    <w:multiLevelType w:val="hybridMultilevel"/>
    <w:tmpl w:val="D7E05AE6"/>
    <w:lvl w:ilvl="0" w:tplc="040E000F">
      <w:start w:val="1"/>
      <w:numFmt w:val="decimal"/>
      <w:lvlText w:val="%1."/>
      <w:lvlJc w:val="left"/>
      <w:pPr>
        <w:ind w:left="294" w:hanging="360"/>
      </w:pPr>
    </w:lvl>
    <w:lvl w:ilvl="1" w:tplc="040E0019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D429A4"/>
    <w:multiLevelType w:val="hybridMultilevel"/>
    <w:tmpl w:val="77C43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37650"/>
    <w:multiLevelType w:val="hybridMultilevel"/>
    <w:tmpl w:val="CCE2B01E"/>
    <w:lvl w:ilvl="0" w:tplc="882C80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07705"/>
    <w:multiLevelType w:val="hybridMultilevel"/>
    <w:tmpl w:val="76C6F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71C1E"/>
    <w:multiLevelType w:val="hybridMultilevel"/>
    <w:tmpl w:val="8A78C41A"/>
    <w:lvl w:ilvl="0" w:tplc="EA38E9E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51AA9"/>
    <w:multiLevelType w:val="hybridMultilevel"/>
    <w:tmpl w:val="D6504FCE"/>
    <w:lvl w:ilvl="0" w:tplc="5588D78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532F8"/>
    <w:multiLevelType w:val="hybridMultilevel"/>
    <w:tmpl w:val="0C58D9C4"/>
    <w:lvl w:ilvl="0" w:tplc="E7C2A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4751A1A"/>
    <w:multiLevelType w:val="hybridMultilevel"/>
    <w:tmpl w:val="0D2A8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E5C7D92"/>
    <w:multiLevelType w:val="hybridMultilevel"/>
    <w:tmpl w:val="5B6A6CE8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17EDF"/>
    <w:multiLevelType w:val="hybridMultilevel"/>
    <w:tmpl w:val="26D2C0F4"/>
    <w:lvl w:ilvl="0" w:tplc="E88ABBFA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7"/>
  </w:num>
  <w:num w:numId="5">
    <w:abstractNumId w:val="5"/>
  </w:num>
  <w:num w:numId="6">
    <w:abstractNumId w:val="3"/>
  </w:num>
  <w:num w:numId="7">
    <w:abstractNumId w:val="19"/>
  </w:num>
  <w:num w:numId="8">
    <w:abstractNumId w:val="9"/>
  </w:num>
  <w:num w:numId="9">
    <w:abstractNumId w:val="17"/>
  </w:num>
  <w:num w:numId="10">
    <w:abstractNumId w:val="6"/>
  </w:num>
  <w:num w:numId="11">
    <w:abstractNumId w:val="10"/>
  </w:num>
  <w:num w:numId="12">
    <w:abstractNumId w:val="11"/>
  </w:num>
  <w:num w:numId="13">
    <w:abstractNumId w:val="4"/>
  </w:num>
  <w:num w:numId="14">
    <w:abstractNumId w:val="12"/>
  </w:num>
  <w:num w:numId="15">
    <w:abstractNumId w:val="0"/>
  </w:num>
  <w:num w:numId="16">
    <w:abstractNumId w:val="1"/>
  </w:num>
  <w:num w:numId="17">
    <w:abstractNumId w:val="18"/>
  </w:num>
  <w:num w:numId="18">
    <w:abstractNumId w:val="15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F6"/>
    <w:rsid w:val="000008B6"/>
    <w:rsid w:val="00011212"/>
    <w:rsid w:val="00013D0D"/>
    <w:rsid w:val="00016318"/>
    <w:rsid w:val="0003201B"/>
    <w:rsid w:val="0003417F"/>
    <w:rsid w:val="0003565B"/>
    <w:rsid w:val="000423D6"/>
    <w:rsid w:val="000473C3"/>
    <w:rsid w:val="00050B13"/>
    <w:rsid w:val="00057228"/>
    <w:rsid w:val="00073DF4"/>
    <w:rsid w:val="00075591"/>
    <w:rsid w:val="000800B8"/>
    <w:rsid w:val="00080183"/>
    <w:rsid w:val="00081A15"/>
    <w:rsid w:val="00087B09"/>
    <w:rsid w:val="000917A7"/>
    <w:rsid w:val="00093EA7"/>
    <w:rsid w:val="00094C98"/>
    <w:rsid w:val="000A0179"/>
    <w:rsid w:val="000A2908"/>
    <w:rsid w:val="000A6143"/>
    <w:rsid w:val="000A78AC"/>
    <w:rsid w:val="000B13D8"/>
    <w:rsid w:val="000B6074"/>
    <w:rsid w:val="000B6387"/>
    <w:rsid w:val="000C75F3"/>
    <w:rsid w:val="000D6FE4"/>
    <w:rsid w:val="000E2B9A"/>
    <w:rsid w:val="000E2C5B"/>
    <w:rsid w:val="000F2CC9"/>
    <w:rsid w:val="00101B16"/>
    <w:rsid w:val="00102568"/>
    <w:rsid w:val="0012057F"/>
    <w:rsid w:val="00126BE2"/>
    <w:rsid w:val="00130B64"/>
    <w:rsid w:val="001310C1"/>
    <w:rsid w:val="00134C62"/>
    <w:rsid w:val="00147E1C"/>
    <w:rsid w:val="0015324C"/>
    <w:rsid w:val="00154D23"/>
    <w:rsid w:val="00161771"/>
    <w:rsid w:val="00164C5F"/>
    <w:rsid w:val="00172A0C"/>
    <w:rsid w:val="001765AD"/>
    <w:rsid w:val="00176DE3"/>
    <w:rsid w:val="00183F0E"/>
    <w:rsid w:val="001917BB"/>
    <w:rsid w:val="00197BDA"/>
    <w:rsid w:val="001A46CC"/>
    <w:rsid w:val="001A5508"/>
    <w:rsid w:val="001B1053"/>
    <w:rsid w:val="001B24A1"/>
    <w:rsid w:val="001C24E0"/>
    <w:rsid w:val="001C35D6"/>
    <w:rsid w:val="001C3E85"/>
    <w:rsid w:val="001D2AC7"/>
    <w:rsid w:val="001E05B6"/>
    <w:rsid w:val="001E442F"/>
    <w:rsid w:val="001F0D40"/>
    <w:rsid w:val="001F0F1C"/>
    <w:rsid w:val="001F2879"/>
    <w:rsid w:val="00201EC5"/>
    <w:rsid w:val="002031B2"/>
    <w:rsid w:val="00204656"/>
    <w:rsid w:val="002120FE"/>
    <w:rsid w:val="00212FBC"/>
    <w:rsid w:val="002158B4"/>
    <w:rsid w:val="002161CB"/>
    <w:rsid w:val="00220757"/>
    <w:rsid w:val="0022093E"/>
    <w:rsid w:val="00220C34"/>
    <w:rsid w:val="00221634"/>
    <w:rsid w:val="00230A6F"/>
    <w:rsid w:val="00233655"/>
    <w:rsid w:val="002627CD"/>
    <w:rsid w:val="00262A06"/>
    <w:rsid w:val="002646F2"/>
    <w:rsid w:val="00271733"/>
    <w:rsid w:val="00275182"/>
    <w:rsid w:val="00275BF2"/>
    <w:rsid w:val="00280B3A"/>
    <w:rsid w:val="00283E67"/>
    <w:rsid w:val="002971B6"/>
    <w:rsid w:val="002975FC"/>
    <w:rsid w:val="002A1B26"/>
    <w:rsid w:val="002A23C1"/>
    <w:rsid w:val="002A2934"/>
    <w:rsid w:val="002A3528"/>
    <w:rsid w:val="002A531F"/>
    <w:rsid w:val="002D404A"/>
    <w:rsid w:val="002E1A1D"/>
    <w:rsid w:val="002E2ADE"/>
    <w:rsid w:val="002F5B0E"/>
    <w:rsid w:val="00307947"/>
    <w:rsid w:val="00313049"/>
    <w:rsid w:val="003357FA"/>
    <w:rsid w:val="00337D2A"/>
    <w:rsid w:val="003425B7"/>
    <w:rsid w:val="00352340"/>
    <w:rsid w:val="00360686"/>
    <w:rsid w:val="0036118E"/>
    <w:rsid w:val="0037073D"/>
    <w:rsid w:val="0038408E"/>
    <w:rsid w:val="00384C5A"/>
    <w:rsid w:val="00386B86"/>
    <w:rsid w:val="00392ADE"/>
    <w:rsid w:val="003B46F7"/>
    <w:rsid w:val="003C2886"/>
    <w:rsid w:val="003C4893"/>
    <w:rsid w:val="003E38E1"/>
    <w:rsid w:val="003E53F0"/>
    <w:rsid w:val="003E6E53"/>
    <w:rsid w:val="003E715C"/>
    <w:rsid w:val="003F567A"/>
    <w:rsid w:val="00401E82"/>
    <w:rsid w:val="00406380"/>
    <w:rsid w:val="00406817"/>
    <w:rsid w:val="00420093"/>
    <w:rsid w:val="004215DC"/>
    <w:rsid w:val="00424227"/>
    <w:rsid w:val="0043014A"/>
    <w:rsid w:val="00431537"/>
    <w:rsid w:val="00431BB3"/>
    <w:rsid w:val="00435207"/>
    <w:rsid w:val="00464E1B"/>
    <w:rsid w:val="00467BFB"/>
    <w:rsid w:val="00471381"/>
    <w:rsid w:val="00484898"/>
    <w:rsid w:val="004859EF"/>
    <w:rsid w:val="004921D4"/>
    <w:rsid w:val="00493A2B"/>
    <w:rsid w:val="00495240"/>
    <w:rsid w:val="00496913"/>
    <w:rsid w:val="004C4BDF"/>
    <w:rsid w:val="004E3F09"/>
    <w:rsid w:val="004E5DD2"/>
    <w:rsid w:val="004F2071"/>
    <w:rsid w:val="004F2EA4"/>
    <w:rsid w:val="00507803"/>
    <w:rsid w:val="005104B7"/>
    <w:rsid w:val="005112E9"/>
    <w:rsid w:val="00513B8A"/>
    <w:rsid w:val="00520010"/>
    <w:rsid w:val="00525A56"/>
    <w:rsid w:val="00535E81"/>
    <w:rsid w:val="005375F2"/>
    <w:rsid w:val="005505B6"/>
    <w:rsid w:val="00562FA2"/>
    <w:rsid w:val="00563552"/>
    <w:rsid w:val="00563632"/>
    <w:rsid w:val="00575C6A"/>
    <w:rsid w:val="00576C82"/>
    <w:rsid w:val="005774FC"/>
    <w:rsid w:val="00585442"/>
    <w:rsid w:val="00585762"/>
    <w:rsid w:val="00594008"/>
    <w:rsid w:val="00594B89"/>
    <w:rsid w:val="0059784F"/>
    <w:rsid w:val="00597A62"/>
    <w:rsid w:val="005A4DD2"/>
    <w:rsid w:val="005E2E1C"/>
    <w:rsid w:val="005E3DFC"/>
    <w:rsid w:val="005E5E4D"/>
    <w:rsid w:val="005F40A6"/>
    <w:rsid w:val="00604E14"/>
    <w:rsid w:val="00610331"/>
    <w:rsid w:val="006129F6"/>
    <w:rsid w:val="006219C0"/>
    <w:rsid w:val="006253EC"/>
    <w:rsid w:val="006300B6"/>
    <w:rsid w:val="00632A71"/>
    <w:rsid w:val="00633879"/>
    <w:rsid w:val="00633A44"/>
    <w:rsid w:val="006507E6"/>
    <w:rsid w:val="006540A2"/>
    <w:rsid w:val="00663386"/>
    <w:rsid w:val="006728E0"/>
    <w:rsid w:val="00685A31"/>
    <w:rsid w:val="006A404E"/>
    <w:rsid w:val="006B5F68"/>
    <w:rsid w:val="006C7068"/>
    <w:rsid w:val="006D3F92"/>
    <w:rsid w:val="006E1DDB"/>
    <w:rsid w:val="006E401D"/>
    <w:rsid w:val="006F1E93"/>
    <w:rsid w:val="006F3B94"/>
    <w:rsid w:val="00702D46"/>
    <w:rsid w:val="00711969"/>
    <w:rsid w:val="00714AB1"/>
    <w:rsid w:val="00721CE2"/>
    <w:rsid w:val="00721FC9"/>
    <w:rsid w:val="0072465B"/>
    <w:rsid w:val="00725F91"/>
    <w:rsid w:val="0072728F"/>
    <w:rsid w:val="00730F2E"/>
    <w:rsid w:val="007330BC"/>
    <w:rsid w:val="0073615B"/>
    <w:rsid w:val="007368DB"/>
    <w:rsid w:val="00741710"/>
    <w:rsid w:val="007428D9"/>
    <w:rsid w:val="00756C32"/>
    <w:rsid w:val="00767356"/>
    <w:rsid w:val="00770285"/>
    <w:rsid w:val="00785A79"/>
    <w:rsid w:val="00791EFC"/>
    <w:rsid w:val="00796B93"/>
    <w:rsid w:val="007A779F"/>
    <w:rsid w:val="007B0C42"/>
    <w:rsid w:val="007B688A"/>
    <w:rsid w:val="007C2515"/>
    <w:rsid w:val="007C4813"/>
    <w:rsid w:val="007D56FF"/>
    <w:rsid w:val="007E21CA"/>
    <w:rsid w:val="007E540A"/>
    <w:rsid w:val="007E6C04"/>
    <w:rsid w:val="007F0917"/>
    <w:rsid w:val="008103FA"/>
    <w:rsid w:val="00823BBC"/>
    <w:rsid w:val="0082742C"/>
    <w:rsid w:val="00834273"/>
    <w:rsid w:val="0083455A"/>
    <w:rsid w:val="0083726A"/>
    <w:rsid w:val="00841FEB"/>
    <w:rsid w:val="00846191"/>
    <w:rsid w:val="00847C55"/>
    <w:rsid w:val="008551A1"/>
    <w:rsid w:val="008551B2"/>
    <w:rsid w:val="00870398"/>
    <w:rsid w:val="0087496A"/>
    <w:rsid w:val="008858EC"/>
    <w:rsid w:val="008A173B"/>
    <w:rsid w:val="008A1CA3"/>
    <w:rsid w:val="008A5255"/>
    <w:rsid w:val="008B07DA"/>
    <w:rsid w:val="008B4857"/>
    <w:rsid w:val="008B5E12"/>
    <w:rsid w:val="008C46C7"/>
    <w:rsid w:val="008C47B5"/>
    <w:rsid w:val="008C5064"/>
    <w:rsid w:val="008E2B70"/>
    <w:rsid w:val="008E3D84"/>
    <w:rsid w:val="008F06ED"/>
    <w:rsid w:val="008F1D7D"/>
    <w:rsid w:val="008F2D4A"/>
    <w:rsid w:val="008F3E4E"/>
    <w:rsid w:val="008F6187"/>
    <w:rsid w:val="008F6763"/>
    <w:rsid w:val="00902199"/>
    <w:rsid w:val="00903399"/>
    <w:rsid w:val="0091098E"/>
    <w:rsid w:val="00912902"/>
    <w:rsid w:val="009211B5"/>
    <w:rsid w:val="009249D7"/>
    <w:rsid w:val="00935D13"/>
    <w:rsid w:val="009429E8"/>
    <w:rsid w:val="00956494"/>
    <w:rsid w:val="00960B35"/>
    <w:rsid w:val="00960BC4"/>
    <w:rsid w:val="00972EB1"/>
    <w:rsid w:val="009769A6"/>
    <w:rsid w:val="00982455"/>
    <w:rsid w:val="009A3A41"/>
    <w:rsid w:val="009A43B9"/>
    <w:rsid w:val="009C7BA0"/>
    <w:rsid w:val="009D5E87"/>
    <w:rsid w:val="009E12D3"/>
    <w:rsid w:val="009E3B32"/>
    <w:rsid w:val="009E6833"/>
    <w:rsid w:val="009F17B2"/>
    <w:rsid w:val="009F193E"/>
    <w:rsid w:val="009F462C"/>
    <w:rsid w:val="00A0056C"/>
    <w:rsid w:val="00A00841"/>
    <w:rsid w:val="00A048D0"/>
    <w:rsid w:val="00A05553"/>
    <w:rsid w:val="00A07CC8"/>
    <w:rsid w:val="00A11583"/>
    <w:rsid w:val="00A11588"/>
    <w:rsid w:val="00A120D2"/>
    <w:rsid w:val="00A162E5"/>
    <w:rsid w:val="00A2109A"/>
    <w:rsid w:val="00A21A98"/>
    <w:rsid w:val="00A3277C"/>
    <w:rsid w:val="00A6174F"/>
    <w:rsid w:val="00A76C3D"/>
    <w:rsid w:val="00A812AF"/>
    <w:rsid w:val="00A820ED"/>
    <w:rsid w:val="00A90055"/>
    <w:rsid w:val="00A903F1"/>
    <w:rsid w:val="00AA6125"/>
    <w:rsid w:val="00AB1F3C"/>
    <w:rsid w:val="00AB4E3A"/>
    <w:rsid w:val="00AD5C62"/>
    <w:rsid w:val="00AE01C3"/>
    <w:rsid w:val="00AF5CE4"/>
    <w:rsid w:val="00B02F68"/>
    <w:rsid w:val="00B05AD4"/>
    <w:rsid w:val="00B05ED6"/>
    <w:rsid w:val="00B06518"/>
    <w:rsid w:val="00B0780A"/>
    <w:rsid w:val="00B07B46"/>
    <w:rsid w:val="00B10ECB"/>
    <w:rsid w:val="00B113F1"/>
    <w:rsid w:val="00B11A54"/>
    <w:rsid w:val="00B14818"/>
    <w:rsid w:val="00B2329D"/>
    <w:rsid w:val="00B42B2C"/>
    <w:rsid w:val="00B432AE"/>
    <w:rsid w:val="00B56959"/>
    <w:rsid w:val="00B718E9"/>
    <w:rsid w:val="00B72F9E"/>
    <w:rsid w:val="00B74896"/>
    <w:rsid w:val="00B9684A"/>
    <w:rsid w:val="00BA4801"/>
    <w:rsid w:val="00BA6EDA"/>
    <w:rsid w:val="00BB22C8"/>
    <w:rsid w:val="00BB4702"/>
    <w:rsid w:val="00BB49D5"/>
    <w:rsid w:val="00BB7062"/>
    <w:rsid w:val="00BC0B38"/>
    <w:rsid w:val="00BC2E1C"/>
    <w:rsid w:val="00BD3DB2"/>
    <w:rsid w:val="00BD4865"/>
    <w:rsid w:val="00BE3EE6"/>
    <w:rsid w:val="00BE4B9A"/>
    <w:rsid w:val="00BE6548"/>
    <w:rsid w:val="00BF0BA9"/>
    <w:rsid w:val="00BF14C7"/>
    <w:rsid w:val="00C066EE"/>
    <w:rsid w:val="00C1237F"/>
    <w:rsid w:val="00C13CAE"/>
    <w:rsid w:val="00C150DA"/>
    <w:rsid w:val="00C15FDA"/>
    <w:rsid w:val="00C17085"/>
    <w:rsid w:val="00C20F4F"/>
    <w:rsid w:val="00C2265F"/>
    <w:rsid w:val="00C61588"/>
    <w:rsid w:val="00C86F30"/>
    <w:rsid w:val="00C91923"/>
    <w:rsid w:val="00CA1AB4"/>
    <w:rsid w:val="00CA57E0"/>
    <w:rsid w:val="00CA7B47"/>
    <w:rsid w:val="00CB2053"/>
    <w:rsid w:val="00CB3B4E"/>
    <w:rsid w:val="00CB6E0E"/>
    <w:rsid w:val="00CD33A6"/>
    <w:rsid w:val="00CE6804"/>
    <w:rsid w:val="00D01A57"/>
    <w:rsid w:val="00D01F6B"/>
    <w:rsid w:val="00D02C60"/>
    <w:rsid w:val="00D05F78"/>
    <w:rsid w:val="00D1700D"/>
    <w:rsid w:val="00D21664"/>
    <w:rsid w:val="00D218C5"/>
    <w:rsid w:val="00D22E9F"/>
    <w:rsid w:val="00D27A87"/>
    <w:rsid w:val="00D447FB"/>
    <w:rsid w:val="00D473EB"/>
    <w:rsid w:val="00D53B6A"/>
    <w:rsid w:val="00D56732"/>
    <w:rsid w:val="00D60AF5"/>
    <w:rsid w:val="00D61B6D"/>
    <w:rsid w:val="00D64629"/>
    <w:rsid w:val="00D769A0"/>
    <w:rsid w:val="00D8190C"/>
    <w:rsid w:val="00D827DE"/>
    <w:rsid w:val="00D907BC"/>
    <w:rsid w:val="00D96CAE"/>
    <w:rsid w:val="00DC2A55"/>
    <w:rsid w:val="00DC6AED"/>
    <w:rsid w:val="00DD6525"/>
    <w:rsid w:val="00DE3B4E"/>
    <w:rsid w:val="00DF169E"/>
    <w:rsid w:val="00DF1D22"/>
    <w:rsid w:val="00DF1DFB"/>
    <w:rsid w:val="00E00A6D"/>
    <w:rsid w:val="00E00CBD"/>
    <w:rsid w:val="00E01A50"/>
    <w:rsid w:val="00E06873"/>
    <w:rsid w:val="00E211CC"/>
    <w:rsid w:val="00E22FDE"/>
    <w:rsid w:val="00E3308D"/>
    <w:rsid w:val="00E45155"/>
    <w:rsid w:val="00E46CF8"/>
    <w:rsid w:val="00E47A77"/>
    <w:rsid w:val="00E47C7A"/>
    <w:rsid w:val="00E548E1"/>
    <w:rsid w:val="00E56A74"/>
    <w:rsid w:val="00E667A3"/>
    <w:rsid w:val="00E733CC"/>
    <w:rsid w:val="00E76039"/>
    <w:rsid w:val="00E83ECB"/>
    <w:rsid w:val="00E84956"/>
    <w:rsid w:val="00EA0134"/>
    <w:rsid w:val="00EC3052"/>
    <w:rsid w:val="00EE38C9"/>
    <w:rsid w:val="00EE756B"/>
    <w:rsid w:val="00EF384C"/>
    <w:rsid w:val="00EF4757"/>
    <w:rsid w:val="00F00115"/>
    <w:rsid w:val="00F07011"/>
    <w:rsid w:val="00F15CD3"/>
    <w:rsid w:val="00F17B76"/>
    <w:rsid w:val="00F2686A"/>
    <w:rsid w:val="00F35FDA"/>
    <w:rsid w:val="00F42A09"/>
    <w:rsid w:val="00F5108E"/>
    <w:rsid w:val="00F5260D"/>
    <w:rsid w:val="00F604EC"/>
    <w:rsid w:val="00F62078"/>
    <w:rsid w:val="00F67081"/>
    <w:rsid w:val="00F67797"/>
    <w:rsid w:val="00F71205"/>
    <w:rsid w:val="00F719CD"/>
    <w:rsid w:val="00F7549D"/>
    <w:rsid w:val="00F7629D"/>
    <w:rsid w:val="00F77403"/>
    <w:rsid w:val="00F937F6"/>
    <w:rsid w:val="00FA149D"/>
    <w:rsid w:val="00FA4FC7"/>
    <w:rsid w:val="00FB3E0B"/>
    <w:rsid w:val="00FB5C90"/>
    <w:rsid w:val="00FB602B"/>
    <w:rsid w:val="00FB7ADD"/>
    <w:rsid w:val="00FC331A"/>
    <w:rsid w:val="00FC3D54"/>
    <w:rsid w:val="00FD032A"/>
    <w:rsid w:val="00FD23C3"/>
    <w:rsid w:val="00FE3579"/>
    <w:rsid w:val="00FE5B3F"/>
    <w:rsid w:val="00FF327F"/>
    <w:rsid w:val="00FF6D2E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aliases w:val="Jsz_Alcím"/>
    <w:basedOn w:val="Norml"/>
    <w:next w:val="Norml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975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975F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975FC"/>
    <w:rPr>
      <w:sz w:val="28"/>
    </w:rPr>
  </w:style>
  <w:style w:type="paragraph" w:styleId="Szvegtrzs2">
    <w:name w:val="Body Text 2"/>
    <w:basedOn w:val="Norml"/>
    <w:rsid w:val="002975FC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72F9E"/>
    <w:rPr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nhideWhenUsed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1F0F1C"/>
  </w:style>
  <w:style w:type="paragraph" w:styleId="Listaszerbekezds">
    <w:name w:val="List Paragraph"/>
    <w:basedOn w:val="Norml"/>
    <w:uiPriority w:val="34"/>
    <w:qFormat/>
    <w:rsid w:val="0036118E"/>
    <w:pPr>
      <w:ind w:left="720"/>
      <w:contextualSpacing/>
    </w:pPr>
  </w:style>
  <w:style w:type="paragraph" w:customStyle="1" w:styleId="StlusCmsor2KzprezrtEltte18ptUtna0ptSorkz">
    <w:name w:val="Stílus Címsor 2 + Középre zárt Előtte:  18 pt Utána:  0 pt Sorköz..."/>
    <w:basedOn w:val="Cmsor2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/>
      <w:i/>
      <w:iCs/>
      <w:lang w:eastAsia="ar-SA"/>
    </w:rPr>
  </w:style>
  <w:style w:type="character" w:styleId="Jegyzethivatkozs">
    <w:name w:val="annotation reference"/>
    <w:basedOn w:val="Bekezdsalapbettpusa"/>
    <w:rsid w:val="00172A0C"/>
    <w:rPr>
      <w:sz w:val="16"/>
      <w:szCs w:val="16"/>
    </w:rPr>
  </w:style>
  <w:style w:type="table" w:styleId="Rcsostblzat">
    <w:name w:val="Table Grid"/>
    <w:basedOn w:val="Normltblzat"/>
    <w:uiPriority w:val="39"/>
    <w:rsid w:val="000A61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0A6143"/>
    <w:rPr>
      <w:rFonts w:ascii="Calibri" w:eastAsia="Calibri" w:hAnsi="Calibr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A6143"/>
    <w:rPr>
      <w:rFonts w:ascii="Calibri" w:eastAsia="Calibri" w:hAnsi="Calibri"/>
      <w:lang w:eastAsia="en-US"/>
    </w:rPr>
  </w:style>
  <w:style w:type="character" w:styleId="Lbjegyzet-hivatkozs">
    <w:name w:val="footnote reference"/>
    <w:aliases w:val="BVI fnr,Footnote symbol, BVI fnr"/>
    <w:basedOn w:val="Bekezdsalapbettpusa"/>
    <w:uiPriority w:val="99"/>
    <w:unhideWhenUsed/>
    <w:rsid w:val="000A6143"/>
    <w:rPr>
      <w:vertAlign w:val="superscript"/>
    </w:rPr>
  </w:style>
  <w:style w:type="paragraph" w:customStyle="1" w:styleId="ListParagraph1">
    <w:name w:val="List Paragraph1"/>
    <w:basedOn w:val="Norml"/>
    <w:rsid w:val="00F719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F719CD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3E38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E38E1"/>
    <w:rPr>
      <w:b/>
      <w:bCs/>
    </w:rPr>
  </w:style>
  <w:style w:type="paragraph" w:customStyle="1" w:styleId="CM1">
    <w:name w:val="CM1"/>
    <w:basedOn w:val="Norml"/>
    <w:next w:val="Norml"/>
    <w:rsid w:val="00F5108E"/>
    <w:pPr>
      <w:autoSpaceDE w:val="0"/>
      <w:autoSpaceDN w:val="0"/>
      <w:adjustRightInd w:val="0"/>
    </w:pPr>
    <w:rPr>
      <w:rFonts w:ascii="EUAlbertina" w:hAnsi="EUAlbertina"/>
      <w:szCs w:val="24"/>
      <w:lang w:eastAsia="en-US"/>
    </w:rPr>
  </w:style>
  <w:style w:type="character" w:customStyle="1" w:styleId="CharStyle3">
    <w:name w:val="Char Style 3"/>
    <w:link w:val="Style2"/>
    <w:locked/>
    <w:rsid w:val="00F5108E"/>
    <w:rPr>
      <w:sz w:val="34"/>
      <w:szCs w:val="34"/>
      <w:shd w:val="clear" w:color="auto" w:fill="FFFFFF"/>
    </w:rPr>
  </w:style>
  <w:style w:type="paragraph" w:customStyle="1" w:styleId="Style2">
    <w:name w:val="Style 2"/>
    <w:basedOn w:val="Norml"/>
    <w:link w:val="CharStyle3"/>
    <w:rsid w:val="00F5108E"/>
    <w:pPr>
      <w:widowControl w:val="0"/>
      <w:shd w:val="clear" w:color="auto" w:fill="FFFFFF"/>
      <w:spacing w:line="475" w:lineRule="exact"/>
    </w:pPr>
    <w:rPr>
      <w:sz w:val="34"/>
      <w:szCs w:val="34"/>
    </w:rPr>
  </w:style>
  <w:style w:type="character" w:customStyle="1" w:styleId="CharStyle5">
    <w:name w:val="Char Style 5"/>
    <w:link w:val="Style4"/>
    <w:locked/>
    <w:rsid w:val="00F5108E"/>
    <w:rPr>
      <w:sz w:val="23"/>
      <w:szCs w:val="23"/>
      <w:shd w:val="clear" w:color="auto" w:fill="FFFFFF"/>
    </w:rPr>
  </w:style>
  <w:style w:type="paragraph" w:customStyle="1" w:styleId="Style4">
    <w:name w:val="Style 4"/>
    <w:basedOn w:val="Norml"/>
    <w:link w:val="CharStyle5"/>
    <w:rsid w:val="00F5108E"/>
    <w:pPr>
      <w:widowControl w:val="0"/>
      <w:shd w:val="clear" w:color="auto" w:fill="FFFFFF"/>
      <w:spacing w:after="300" w:line="240" w:lineRule="atLeast"/>
      <w:ind w:hanging="580"/>
      <w:jc w:val="both"/>
      <w:outlineLvl w:val="0"/>
    </w:pPr>
    <w:rPr>
      <w:sz w:val="23"/>
      <w:szCs w:val="23"/>
    </w:rPr>
  </w:style>
  <w:style w:type="character" w:customStyle="1" w:styleId="CharStyle11">
    <w:name w:val="Char Style 11"/>
    <w:link w:val="Style10"/>
    <w:locked/>
    <w:rsid w:val="00F5108E"/>
    <w:rPr>
      <w:sz w:val="23"/>
      <w:szCs w:val="23"/>
      <w:shd w:val="clear" w:color="auto" w:fill="FFFFFF"/>
    </w:rPr>
  </w:style>
  <w:style w:type="paragraph" w:customStyle="1" w:styleId="Style10">
    <w:name w:val="Style 10"/>
    <w:basedOn w:val="Norml"/>
    <w:link w:val="CharStyle11"/>
    <w:rsid w:val="00F5108E"/>
    <w:pPr>
      <w:widowControl w:val="0"/>
      <w:shd w:val="clear" w:color="auto" w:fill="FFFFFF"/>
      <w:spacing w:before="300" w:after="240" w:line="274" w:lineRule="exact"/>
      <w:ind w:hanging="740"/>
      <w:jc w:val="both"/>
    </w:pPr>
    <w:rPr>
      <w:sz w:val="23"/>
      <w:szCs w:val="23"/>
    </w:rPr>
  </w:style>
  <w:style w:type="character" w:customStyle="1" w:styleId="CharStyle30">
    <w:name w:val="Char Style 30"/>
    <w:rsid w:val="00F5108E"/>
    <w:rPr>
      <w:rFonts w:ascii="Times New Roman" w:hAnsi="Times New Roman" w:cs="Times New Roman"/>
      <w:color w:val="222222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CharStyle32">
    <w:name w:val="Char Style 32"/>
    <w:link w:val="Style31"/>
    <w:locked/>
    <w:rsid w:val="00F5108E"/>
    <w:rPr>
      <w:sz w:val="23"/>
      <w:szCs w:val="23"/>
      <w:shd w:val="clear" w:color="auto" w:fill="FFFFFF"/>
    </w:rPr>
  </w:style>
  <w:style w:type="paragraph" w:customStyle="1" w:styleId="Style31">
    <w:name w:val="Style 31"/>
    <w:basedOn w:val="Norml"/>
    <w:link w:val="CharStyle32"/>
    <w:rsid w:val="00F5108E"/>
    <w:pPr>
      <w:widowControl w:val="0"/>
      <w:shd w:val="clear" w:color="auto" w:fill="FFFFFF"/>
      <w:spacing w:before="240" w:after="240" w:line="274" w:lineRule="exact"/>
      <w:jc w:val="both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aliases w:val="Jsz_Alcím"/>
    <w:basedOn w:val="Norml"/>
    <w:next w:val="Norml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975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975F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975FC"/>
    <w:rPr>
      <w:sz w:val="28"/>
    </w:rPr>
  </w:style>
  <w:style w:type="paragraph" w:styleId="Szvegtrzs2">
    <w:name w:val="Body Text 2"/>
    <w:basedOn w:val="Norml"/>
    <w:rsid w:val="002975FC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72F9E"/>
    <w:rPr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nhideWhenUsed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1F0F1C"/>
  </w:style>
  <w:style w:type="paragraph" w:styleId="Listaszerbekezds">
    <w:name w:val="List Paragraph"/>
    <w:basedOn w:val="Norml"/>
    <w:uiPriority w:val="34"/>
    <w:qFormat/>
    <w:rsid w:val="0036118E"/>
    <w:pPr>
      <w:ind w:left="720"/>
      <w:contextualSpacing/>
    </w:pPr>
  </w:style>
  <w:style w:type="paragraph" w:customStyle="1" w:styleId="StlusCmsor2KzprezrtEltte18ptUtna0ptSorkz">
    <w:name w:val="Stílus Címsor 2 + Középre zárt Előtte:  18 pt Utána:  0 pt Sorköz..."/>
    <w:basedOn w:val="Cmsor2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/>
      <w:i/>
      <w:iCs/>
      <w:lang w:eastAsia="ar-SA"/>
    </w:rPr>
  </w:style>
  <w:style w:type="character" w:styleId="Jegyzethivatkozs">
    <w:name w:val="annotation reference"/>
    <w:basedOn w:val="Bekezdsalapbettpusa"/>
    <w:rsid w:val="00172A0C"/>
    <w:rPr>
      <w:sz w:val="16"/>
      <w:szCs w:val="16"/>
    </w:rPr>
  </w:style>
  <w:style w:type="table" w:styleId="Rcsostblzat">
    <w:name w:val="Table Grid"/>
    <w:basedOn w:val="Normltblzat"/>
    <w:uiPriority w:val="39"/>
    <w:rsid w:val="000A61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0A6143"/>
    <w:rPr>
      <w:rFonts w:ascii="Calibri" w:eastAsia="Calibri" w:hAnsi="Calibr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A6143"/>
    <w:rPr>
      <w:rFonts w:ascii="Calibri" w:eastAsia="Calibri" w:hAnsi="Calibri"/>
      <w:lang w:eastAsia="en-US"/>
    </w:rPr>
  </w:style>
  <w:style w:type="character" w:styleId="Lbjegyzet-hivatkozs">
    <w:name w:val="footnote reference"/>
    <w:aliases w:val="BVI fnr,Footnote symbol, BVI fnr"/>
    <w:basedOn w:val="Bekezdsalapbettpusa"/>
    <w:uiPriority w:val="99"/>
    <w:unhideWhenUsed/>
    <w:rsid w:val="000A6143"/>
    <w:rPr>
      <w:vertAlign w:val="superscript"/>
    </w:rPr>
  </w:style>
  <w:style w:type="paragraph" w:customStyle="1" w:styleId="ListParagraph1">
    <w:name w:val="List Paragraph1"/>
    <w:basedOn w:val="Norml"/>
    <w:rsid w:val="00F719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F719CD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3E38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E38E1"/>
    <w:rPr>
      <w:b/>
      <w:bCs/>
    </w:rPr>
  </w:style>
  <w:style w:type="paragraph" w:customStyle="1" w:styleId="CM1">
    <w:name w:val="CM1"/>
    <w:basedOn w:val="Norml"/>
    <w:next w:val="Norml"/>
    <w:rsid w:val="00F5108E"/>
    <w:pPr>
      <w:autoSpaceDE w:val="0"/>
      <w:autoSpaceDN w:val="0"/>
      <w:adjustRightInd w:val="0"/>
    </w:pPr>
    <w:rPr>
      <w:rFonts w:ascii="EUAlbertina" w:hAnsi="EUAlbertina"/>
      <w:szCs w:val="24"/>
      <w:lang w:eastAsia="en-US"/>
    </w:rPr>
  </w:style>
  <w:style w:type="character" w:customStyle="1" w:styleId="CharStyle3">
    <w:name w:val="Char Style 3"/>
    <w:link w:val="Style2"/>
    <w:locked/>
    <w:rsid w:val="00F5108E"/>
    <w:rPr>
      <w:sz w:val="34"/>
      <w:szCs w:val="34"/>
      <w:shd w:val="clear" w:color="auto" w:fill="FFFFFF"/>
    </w:rPr>
  </w:style>
  <w:style w:type="paragraph" w:customStyle="1" w:styleId="Style2">
    <w:name w:val="Style 2"/>
    <w:basedOn w:val="Norml"/>
    <w:link w:val="CharStyle3"/>
    <w:rsid w:val="00F5108E"/>
    <w:pPr>
      <w:widowControl w:val="0"/>
      <w:shd w:val="clear" w:color="auto" w:fill="FFFFFF"/>
      <w:spacing w:line="475" w:lineRule="exact"/>
    </w:pPr>
    <w:rPr>
      <w:sz w:val="34"/>
      <w:szCs w:val="34"/>
    </w:rPr>
  </w:style>
  <w:style w:type="character" w:customStyle="1" w:styleId="CharStyle5">
    <w:name w:val="Char Style 5"/>
    <w:link w:val="Style4"/>
    <w:locked/>
    <w:rsid w:val="00F5108E"/>
    <w:rPr>
      <w:sz w:val="23"/>
      <w:szCs w:val="23"/>
      <w:shd w:val="clear" w:color="auto" w:fill="FFFFFF"/>
    </w:rPr>
  </w:style>
  <w:style w:type="paragraph" w:customStyle="1" w:styleId="Style4">
    <w:name w:val="Style 4"/>
    <w:basedOn w:val="Norml"/>
    <w:link w:val="CharStyle5"/>
    <w:rsid w:val="00F5108E"/>
    <w:pPr>
      <w:widowControl w:val="0"/>
      <w:shd w:val="clear" w:color="auto" w:fill="FFFFFF"/>
      <w:spacing w:after="300" w:line="240" w:lineRule="atLeast"/>
      <w:ind w:hanging="580"/>
      <w:jc w:val="both"/>
      <w:outlineLvl w:val="0"/>
    </w:pPr>
    <w:rPr>
      <w:sz w:val="23"/>
      <w:szCs w:val="23"/>
    </w:rPr>
  </w:style>
  <w:style w:type="character" w:customStyle="1" w:styleId="CharStyle11">
    <w:name w:val="Char Style 11"/>
    <w:link w:val="Style10"/>
    <w:locked/>
    <w:rsid w:val="00F5108E"/>
    <w:rPr>
      <w:sz w:val="23"/>
      <w:szCs w:val="23"/>
      <w:shd w:val="clear" w:color="auto" w:fill="FFFFFF"/>
    </w:rPr>
  </w:style>
  <w:style w:type="paragraph" w:customStyle="1" w:styleId="Style10">
    <w:name w:val="Style 10"/>
    <w:basedOn w:val="Norml"/>
    <w:link w:val="CharStyle11"/>
    <w:rsid w:val="00F5108E"/>
    <w:pPr>
      <w:widowControl w:val="0"/>
      <w:shd w:val="clear" w:color="auto" w:fill="FFFFFF"/>
      <w:spacing w:before="300" w:after="240" w:line="274" w:lineRule="exact"/>
      <w:ind w:hanging="740"/>
      <w:jc w:val="both"/>
    </w:pPr>
    <w:rPr>
      <w:sz w:val="23"/>
      <w:szCs w:val="23"/>
    </w:rPr>
  </w:style>
  <w:style w:type="character" w:customStyle="1" w:styleId="CharStyle30">
    <w:name w:val="Char Style 30"/>
    <w:rsid w:val="00F5108E"/>
    <w:rPr>
      <w:rFonts w:ascii="Times New Roman" w:hAnsi="Times New Roman" w:cs="Times New Roman"/>
      <w:color w:val="222222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CharStyle32">
    <w:name w:val="Char Style 32"/>
    <w:link w:val="Style31"/>
    <w:locked/>
    <w:rsid w:val="00F5108E"/>
    <w:rPr>
      <w:sz w:val="23"/>
      <w:szCs w:val="23"/>
      <w:shd w:val="clear" w:color="auto" w:fill="FFFFFF"/>
    </w:rPr>
  </w:style>
  <w:style w:type="paragraph" w:customStyle="1" w:styleId="Style31">
    <w:name w:val="Style 31"/>
    <w:basedOn w:val="Norml"/>
    <w:link w:val="CharStyle32"/>
    <w:rsid w:val="00F5108E"/>
    <w:pPr>
      <w:widowControl w:val="0"/>
      <w:shd w:val="clear" w:color="auto" w:fill="FFFFFF"/>
      <w:spacing w:before="240" w:after="240" w:line="274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25358-5497-467D-8C31-CAACA58C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1823</Words>
  <Characters>12585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14380</CharactersWithSpaces>
  <SharedDoc>false</SharedDoc>
  <HLinks>
    <vt:vector size="6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LakatosL</dc:creator>
  <cp:lastModifiedBy>LakatosL</cp:lastModifiedBy>
  <cp:revision>3</cp:revision>
  <cp:lastPrinted>2015-02-09T14:32:00Z</cp:lastPrinted>
  <dcterms:created xsi:type="dcterms:W3CDTF">2016-12-20T09:39:00Z</dcterms:created>
  <dcterms:modified xsi:type="dcterms:W3CDTF">2016-12-20T09:41:00Z</dcterms:modified>
</cp:coreProperties>
</file>