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B1" w:rsidRPr="00C17085" w:rsidRDefault="000473C3" w:rsidP="00972EB1">
      <w:pPr>
        <w:pStyle w:val="NormlWeb"/>
        <w:spacing w:line="276" w:lineRule="auto"/>
        <w:ind w:firstLine="181"/>
        <w:jc w:val="center"/>
        <w:rPr>
          <w:b/>
          <w:bCs/>
          <w:sz w:val="26"/>
          <w:szCs w:val="26"/>
        </w:rPr>
      </w:pPr>
      <w:r w:rsidRPr="00C17085">
        <w:rPr>
          <w:b/>
          <w:bCs/>
          <w:sz w:val="26"/>
          <w:szCs w:val="26"/>
        </w:rPr>
        <w:t>Az Országos Környezetvédelmi Tanács v</w:t>
      </w:r>
      <w:r w:rsidR="008103FA" w:rsidRPr="00C17085">
        <w:rPr>
          <w:b/>
          <w:bCs/>
          <w:sz w:val="26"/>
          <w:szCs w:val="26"/>
        </w:rPr>
        <w:t>élemény</w:t>
      </w:r>
      <w:r w:rsidRPr="00C17085">
        <w:rPr>
          <w:b/>
          <w:bCs/>
          <w:sz w:val="26"/>
          <w:szCs w:val="26"/>
        </w:rPr>
        <w:t>e</w:t>
      </w:r>
      <w:r w:rsidR="008103FA" w:rsidRPr="00C17085">
        <w:rPr>
          <w:b/>
          <w:bCs/>
          <w:sz w:val="26"/>
          <w:szCs w:val="26"/>
        </w:rPr>
        <w:t xml:space="preserve"> </w:t>
      </w:r>
      <w:r w:rsidR="00972EB1" w:rsidRPr="00C17085">
        <w:rPr>
          <w:b/>
          <w:bCs/>
          <w:sz w:val="26"/>
          <w:szCs w:val="26"/>
        </w:rPr>
        <w:t>az Egyszerű Állam</w:t>
      </w:r>
      <w:r w:rsidR="00972EB1" w:rsidRPr="00C17085">
        <w:rPr>
          <w:b/>
          <w:bCs/>
          <w:sz w:val="26"/>
          <w:szCs w:val="26"/>
        </w:rPr>
        <w:t xml:space="preserve"> Program végrehajtása keretében</w:t>
      </w:r>
    </w:p>
    <w:p w:rsidR="008F2D4A" w:rsidRPr="00C17085" w:rsidRDefault="00972EB1" w:rsidP="00972EB1">
      <w:pPr>
        <w:pStyle w:val="NormlWeb"/>
        <w:spacing w:line="276" w:lineRule="auto"/>
        <w:ind w:firstLine="181"/>
        <w:jc w:val="center"/>
        <w:rPr>
          <w:sz w:val="26"/>
          <w:szCs w:val="26"/>
        </w:rPr>
      </w:pPr>
      <w:proofErr w:type="gramStart"/>
      <w:r w:rsidRPr="00C17085">
        <w:rPr>
          <w:b/>
          <w:bCs/>
          <w:sz w:val="26"/>
          <w:szCs w:val="26"/>
        </w:rPr>
        <w:t>a</w:t>
      </w:r>
      <w:proofErr w:type="gramEnd"/>
      <w:r w:rsidRPr="00C17085">
        <w:rPr>
          <w:b/>
          <w:bCs/>
          <w:sz w:val="26"/>
          <w:szCs w:val="26"/>
        </w:rPr>
        <w:t xml:space="preserve"> környezetvédelmi termékdíjról szóló egyes jogszabályok módosításáról</w:t>
      </w:r>
    </w:p>
    <w:p w:rsidR="00F15CD3" w:rsidRPr="00972EB1" w:rsidRDefault="00F15CD3" w:rsidP="008103FA">
      <w:pPr>
        <w:jc w:val="both"/>
        <w:rPr>
          <w:szCs w:val="24"/>
        </w:rPr>
      </w:pPr>
    </w:p>
    <w:p w:rsidR="00972EB1" w:rsidRPr="00972EB1" w:rsidRDefault="00972EB1" w:rsidP="008103FA">
      <w:pPr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 xml:space="preserve">A megküldött törvény és végrehajtási kormányrendeletének tervezete három fő problémát kíván kezelni: </w:t>
      </w:r>
    </w:p>
    <w:p w:rsidR="00972EB1" w:rsidRPr="00972EB1" w:rsidRDefault="00972EB1" w:rsidP="00972EB1">
      <w:pPr>
        <w:spacing w:line="276" w:lineRule="auto"/>
        <w:ind w:left="284" w:hanging="284"/>
        <w:jc w:val="both"/>
        <w:rPr>
          <w:szCs w:val="24"/>
        </w:rPr>
      </w:pPr>
      <w:r w:rsidRPr="00972EB1">
        <w:rPr>
          <w:szCs w:val="24"/>
        </w:rPr>
        <w:t>-</w:t>
      </w:r>
      <w:r w:rsidRPr="00972EB1">
        <w:rPr>
          <w:szCs w:val="24"/>
        </w:rPr>
        <w:tab/>
        <w:t>vállalatok adminisztratív terheit csökkenteni hivatott átalánydíjas rendszer kibővítését,</w:t>
      </w:r>
    </w:p>
    <w:p w:rsidR="00972EB1" w:rsidRPr="00972EB1" w:rsidRDefault="00972EB1" w:rsidP="00972EB1">
      <w:pPr>
        <w:spacing w:line="276" w:lineRule="auto"/>
        <w:ind w:left="284" w:hanging="284"/>
        <w:jc w:val="both"/>
        <w:rPr>
          <w:szCs w:val="24"/>
        </w:rPr>
      </w:pPr>
      <w:r w:rsidRPr="00972EB1">
        <w:rPr>
          <w:szCs w:val="24"/>
        </w:rPr>
        <w:t>-</w:t>
      </w:r>
      <w:r w:rsidRPr="00972EB1">
        <w:rPr>
          <w:szCs w:val="24"/>
        </w:rPr>
        <w:tab/>
        <w:t>a fizetési kötelezettségekre vonatkozó részletek törvényi szabályozási szintre emelését és</w:t>
      </w:r>
    </w:p>
    <w:p w:rsidR="00972EB1" w:rsidRPr="00972EB1" w:rsidRDefault="00972EB1" w:rsidP="00972EB1">
      <w:pPr>
        <w:spacing w:line="276" w:lineRule="auto"/>
        <w:ind w:left="284" w:hanging="284"/>
        <w:jc w:val="both"/>
        <w:rPr>
          <w:szCs w:val="24"/>
        </w:rPr>
      </w:pPr>
      <w:r w:rsidRPr="00972EB1">
        <w:rPr>
          <w:szCs w:val="24"/>
        </w:rPr>
        <w:t>-</w:t>
      </w:r>
      <w:r w:rsidRPr="00972EB1">
        <w:rPr>
          <w:szCs w:val="24"/>
        </w:rPr>
        <w:tab/>
        <w:t>a szabályozási elemek pontosítását, a koherencia-zavarok megszüntetését.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 jogszabály-tervezetekkel kapcsolatos álláspontunkat a fentiekben felsorolt tartalmi sorrendben foglaljuk össze.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b/>
          <w:szCs w:val="24"/>
        </w:rPr>
      </w:pPr>
      <w:r w:rsidRPr="00972EB1">
        <w:rPr>
          <w:b/>
          <w:szCs w:val="24"/>
        </w:rPr>
        <w:t xml:space="preserve">I. </w:t>
      </w:r>
      <w:proofErr w:type="gramStart"/>
      <w:r w:rsidRPr="00972EB1">
        <w:rPr>
          <w:b/>
          <w:szCs w:val="24"/>
        </w:rPr>
        <w:t>A</w:t>
      </w:r>
      <w:proofErr w:type="gramEnd"/>
      <w:r w:rsidRPr="00972EB1">
        <w:rPr>
          <w:b/>
          <w:szCs w:val="24"/>
        </w:rPr>
        <w:t xml:space="preserve"> termékdíj-átalány rendszer kibővítése – adminisztrációs tehercsökkentés</w:t>
      </w:r>
    </w:p>
    <w:p w:rsidR="00972EB1" w:rsidRPr="00972EB1" w:rsidRDefault="00972EB1" w:rsidP="00972EB1">
      <w:pPr>
        <w:spacing w:line="276" w:lineRule="auto"/>
        <w:jc w:val="both"/>
        <w:rPr>
          <w:b/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 termékdíj-átalány fizetés lehetőségének kibővítése – a jelen szabályozási keretek között – alapvetően ésszerű és támogatható javaslat, ami a csomagolószerek mellett valamennyi további termé</w:t>
      </w:r>
      <w:r w:rsidRPr="00972EB1">
        <w:rPr>
          <w:szCs w:val="24"/>
        </w:rPr>
        <w:t>k</w:t>
      </w:r>
      <w:r w:rsidRPr="00972EB1">
        <w:rPr>
          <w:szCs w:val="24"/>
        </w:rPr>
        <w:t>díj-köteles termékáramot kedvezményezetté kívánja tenni. El kell fogadni azt, hogy a kiterjesztett te</w:t>
      </w:r>
      <w:r w:rsidRPr="00972EB1">
        <w:rPr>
          <w:szCs w:val="24"/>
        </w:rPr>
        <w:t>r</w:t>
      </w:r>
      <w:r w:rsidRPr="00972EB1">
        <w:rPr>
          <w:szCs w:val="24"/>
        </w:rPr>
        <w:t>mékkörök esetében nem elsősorban anyagi haszon, hanem a ritkább bevalláskészítésből eredő adminisztratív tehercsökkenés lesz a jele</w:t>
      </w:r>
      <w:r w:rsidRPr="00972EB1">
        <w:rPr>
          <w:szCs w:val="24"/>
        </w:rPr>
        <w:t>n</w:t>
      </w:r>
      <w:r w:rsidRPr="00972EB1">
        <w:rPr>
          <w:szCs w:val="24"/>
        </w:rPr>
        <w:t>tősebb.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Az átalánydíjas rendszerre azonban számos tényező gyakorol befolyást, így:</w:t>
      </w:r>
    </w:p>
    <w:p w:rsidR="00972EB1" w:rsidRPr="00972EB1" w:rsidRDefault="00972EB1" w:rsidP="00972EB1">
      <w:pPr>
        <w:spacing w:line="276" w:lineRule="auto"/>
        <w:ind w:left="284" w:hanging="284"/>
        <w:jc w:val="both"/>
        <w:rPr>
          <w:szCs w:val="24"/>
        </w:rPr>
      </w:pPr>
      <w:r w:rsidRPr="00972EB1">
        <w:rPr>
          <w:szCs w:val="24"/>
        </w:rPr>
        <w:t>-</w:t>
      </w:r>
      <w:r w:rsidRPr="00972EB1">
        <w:rPr>
          <w:szCs w:val="24"/>
        </w:rPr>
        <w:tab/>
        <w:t xml:space="preserve">a kötelezettek </w:t>
      </w:r>
      <w:r w:rsidRPr="00972EB1">
        <w:rPr>
          <w:i/>
          <w:szCs w:val="24"/>
        </w:rPr>
        <w:t>alanyi és/vagy tárgyi hatálya,</w:t>
      </w:r>
      <w:r w:rsidRPr="00972EB1">
        <w:rPr>
          <w:szCs w:val="24"/>
        </w:rPr>
        <w:t xml:space="preserve"> az érintettek köre,</w:t>
      </w:r>
    </w:p>
    <w:p w:rsidR="00972EB1" w:rsidRPr="00972EB1" w:rsidRDefault="00972EB1" w:rsidP="00972EB1">
      <w:pPr>
        <w:spacing w:line="276" w:lineRule="auto"/>
        <w:ind w:left="284" w:hanging="284"/>
        <w:jc w:val="both"/>
        <w:rPr>
          <w:szCs w:val="24"/>
        </w:rPr>
      </w:pPr>
      <w:r w:rsidRPr="00972EB1">
        <w:rPr>
          <w:szCs w:val="24"/>
        </w:rPr>
        <w:t>-</w:t>
      </w:r>
      <w:r w:rsidRPr="00972EB1">
        <w:rPr>
          <w:szCs w:val="24"/>
        </w:rPr>
        <w:tab/>
        <w:t xml:space="preserve">a </w:t>
      </w:r>
      <w:proofErr w:type="spellStart"/>
      <w:r w:rsidRPr="00972EB1">
        <w:rPr>
          <w:i/>
          <w:szCs w:val="24"/>
        </w:rPr>
        <w:t>kötelezetti</w:t>
      </w:r>
      <w:proofErr w:type="spellEnd"/>
      <w:r w:rsidRPr="00972EB1">
        <w:rPr>
          <w:i/>
          <w:szCs w:val="24"/>
        </w:rPr>
        <w:t xml:space="preserve"> „funkció”,</w:t>
      </w:r>
      <w:r w:rsidRPr="00972EB1">
        <w:rPr>
          <w:szCs w:val="24"/>
        </w:rPr>
        <w:t xml:space="preserve"> a gazdálkodó szervezet milyen tevékenysége miatt válik kötelezetté: belföldi gyártás és értékesítés, (import áru) első belföldi forgalomba hozatal, vagy saját célú felhas</w:t>
      </w:r>
      <w:r w:rsidRPr="00972EB1">
        <w:rPr>
          <w:szCs w:val="24"/>
        </w:rPr>
        <w:t>z</w:t>
      </w:r>
      <w:r w:rsidRPr="00972EB1">
        <w:rPr>
          <w:szCs w:val="24"/>
        </w:rPr>
        <w:t>nálás,</w:t>
      </w:r>
    </w:p>
    <w:p w:rsidR="00972EB1" w:rsidRPr="00972EB1" w:rsidRDefault="00972EB1" w:rsidP="00972EB1">
      <w:pPr>
        <w:spacing w:line="276" w:lineRule="auto"/>
        <w:ind w:left="284" w:hanging="284"/>
        <w:jc w:val="both"/>
        <w:rPr>
          <w:szCs w:val="24"/>
        </w:rPr>
      </w:pPr>
      <w:r w:rsidRPr="00972EB1">
        <w:rPr>
          <w:szCs w:val="24"/>
        </w:rPr>
        <w:t>-</w:t>
      </w:r>
      <w:r w:rsidRPr="00972EB1">
        <w:rPr>
          <w:szCs w:val="24"/>
        </w:rPr>
        <w:tab/>
        <w:t xml:space="preserve">az átalány alapjául szolgáló </w:t>
      </w:r>
      <w:r w:rsidRPr="00972EB1">
        <w:rPr>
          <w:i/>
          <w:szCs w:val="24"/>
        </w:rPr>
        <w:t>termékmennyiségek</w:t>
      </w:r>
      <w:r w:rsidRPr="00972EB1">
        <w:rPr>
          <w:szCs w:val="24"/>
        </w:rPr>
        <w:t>.</w:t>
      </w:r>
    </w:p>
    <w:p w:rsidR="00972EB1" w:rsidRPr="00972EB1" w:rsidRDefault="00972EB1" w:rsidP="00972EB1">
      <w:pPr>
        <w:spacing w:line="276" w:lineRule="auto"/>
        <w:ind w:left="284" w:hanging="284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ind w:left="284" w:hanging="284"/>
        <w:jc w:val="both"/>
        <w:rPr>
          <w:i/>
          <w:szCs w:val="24"/>
        </w:rPr>
      </w:pPr>
      <w:r w:rsidRPr="00972EB1">
        <w:rPr>
          <w:i/>
          <w:szCs w:val="24"/>
        </w:rPr>
        <w:t xml:space="preserve">Az alanyi és tárgyi hatály, valamint a </w:t>
      </w:r>
      <w:proofErr w:type="spellStart"/>
      <w:r w:rsidRPr="00972EB1">
        <w:rPr>
          <w:i/>
          <w:szCs w:val="24"/>
        </w:rPr>
        <w:t>kötelezetti</w:t>
      </w:r>
      <w:proofErr w:type="spellEnd"/>
      <w:r w:rsidRPr="00972EB1">
        <w:rPr>
          <w:i/>
          <w:szCs w:val="24"/>
        </w:rPr>
        <w:t xml:space="preserve"> funkció kapcsolata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 xml:space="preserve">A 2011. évben elfogadott környezetvédelmi termékdíj törvény a </w:t>
      </w:r>
      <w:r w:rsidRPr="00972EB1">
        <w:rPr>
          <w:i/>
          <w:szCs w:val="24"/>
        </w:rPr>
        <w:t>reklámhordozó papír</w:t>
      </w:r>
      <w:r w:rsidRPr="00972EB1">
        <w:rPr>
          <w:szCs w:val="24"/>
        </w:rPr>
        <w:t xml:space="preserve"> esetében az alanyi hatályt megváltoztatta és nem a kibocsátásért ténylegesen felelős megrendelőt, hanem a megrendelést teljesítő nyomdát tette meg kötelezetté. Véleményünk szerint ez a megoldás a gyakorla</w:t>
      </w:r>
      <w:r w:rsidRPr="00972EB1">
        <w:rPr>
          <w:szCs w:val="24"/>
        </w:rPr>
        <w:t>t</w:t>
      </w:r>
      <w:r w:rsidRPr="00972EB1">
        <w:rPr>
          <w:szCs w:val="24"/>
        </w:rPr>
        <w:t xml:space="preserve">ban csak nagyon korlátos számú esetben értelmezhető: </w:t>
      </w:r>
    </w:p>
    <w:p w:rsidR="00972EB1" w:rsidRPr="00972EB1" w:rsidRDefault="00972EB1" w:rsidP="00972EB1">
      <w:pPr>
        <w:numPr>
          <w:ilvl w:val="0"/>
          <w:numId w:val="14"/>
        </w:numPr>
        <w:spacing w:line="276" w:lineRule="auto"/>
        <w:ind w:left="284" w:hanging="284"/>
        <w:jc w:val="both"/>
        <w:rPr>
          <w:szCs w:val="24"/>
        </w:rPr>
      </w:pPr>
      <w:r w:rsidRPr="00972EB1">
        <w:rPr>
          <w:szCs w:val="24"/>
        </w:rPr>
        <w:t>amikor a nyomda, tehát a gyártó a kötelezett, nem értelmezhető, mivel a 100 kg-os menny</w:t>
      </w:r>
      <w:r w:rsidRPr="00972EB1">
        <w:rPr>
          <w:szCs w:val="24"/>
        </w:rPr>
        <w:t>i</w:t>
      </w:r>
      <w:r w:rsidRPr="00972EB1">
        <w:rPr>
          <w:szCs w:val="24"/>
        </w:rPr>
        <w:t xml:space="preserve">ség egy nyomdagép egy-két órányi teljesítménye. </w:t>
      </w:r>
    </w:p>
    <w:p w:rsidR="00972EB1" w:rsidRPr="00972EB1" w:rsidRDefault="00972EB1" w:rsidP="00972EB1">
      <w:pPr>
        <w:numPr>
          <w:ilvl w:val="0"/>
          <w:numId w:val="14"/>
        </w:numPr>
        <w:spacing w:line="276" w:lineRule="auto"/>
        <w:ind w:left="284" w:hanging="284"/>
        <w:jc w:val="both"/>
        <w:rPr>
          <w:szCs w:val="24"/>
        </w:rPr>
      </w:pPr>
      <w:r w:rsidRPr="00972EB1">
        <w:rPr>
          <w:szCs w:val="24"/>
        </w:rPr>
        <w:lastRenderedPageBreak/>
        <w:t>a reklámhordozó papírok import eredetű termékként való kereskedelme (belföldi forgalomba h</w:t>
      </w:r>
      <w:r w:rsidRPr="00972EB1">
        <w:rPr>
          <w:szCs w:val="24"/>
        </w:rPr>
        <w:t>o</w:t>
      </w:r>
      <w:r w:rsidRPr="00972EB1">
        <w:rPr>
          <w:szCs w:val="24"/>
        </w:rPr>
        <w:t xml:space="preserve">zatala) nem jellemző, így a termékdíj-átalány itt sem alkalmazható. </w:t>
      </w:r>
    </w:p>
    <w:p w:rsidR="00972EB1" w:rsidRPr="00972EB1" w:rsidRDefault="00972EB1" w:rsidP="00972EB1">
      <w:pPr>
        <w:numPr>
          <w:ilvl w:val="0"/>
          <w:numId w:val="14"/>
        </w:numPr>
        <w:spacing w:line="276" w:lineRule="auto"/>
        <w:ind w:left="284" w:hanging="284"/>
        <w:jc w:val="both"/>
        <w:rPr>
          <w:szCs w:val="24"/>
        </w:rPr>
      </w:pPr>
      <w:r w:rsidRPr="00972EB1">
        <w:rPr>
          <w:szCs w:val="24"/>
        </w:rPr>
        <w:t>a reklámhordozó papírok es</w:t>
      </w:r>
      <w:r w:rsidRPr="00972EB1">
        <w:rPr>
          <w:szCs w:val="24"/>
        </w:rPr>
        <w:t>e</w:t>
      </w:r>
      <w:r w:rsidRPr="00972EB1">
        <w:rPr>
          <w:szCs w:val="24"/>
        </w:rPr>
        <w:t>tében az átalánydíj egyedül a saját célú felhasználásra való külföldi gyártatást ösztönzi. Ennek viszont nemzetgazdasági kára nagyobb, mint te</w:t>
      </w:r>
      <w:r w:rsidRPr="00972EB1">
        <w:rPr>
          <w:szCs w:val="24"/>
        </w:rPr>
        <w:t>r</w:t>
      </w:r>
      <w:r w:rsidRPr="00972EB1">
        <w:rPr>
          <w:szCs w:val="24"/>
        </w:rPr>
        <w:t>mékdíj adminisztrációs és pénzügyi előnye.</w:t>
      </w:r>
    </w:p>
    <w:p w:rsidR="00972EB1" w:rsidRPr="00972EB1" w:rsidRDefault="00972EB1" w:rsidP="00972EB1">
      <w:pPr>
        <w:spacing w:line="276" w:lineRule="auto"/>
        <w:jc w:val="both"/>
        <w:rPr>
          <w:b/>
          <w:szCs w:val="24"/>
        </w:rPr>
      </w:pPr>
      <w:r w:rsidRPr="00972EB1">
        <w:rPr>
          <w:b/>
          <w:szCs w:val="24"/>
        </w:rPr>
        <w:t xml:space="preserve">A </w:t>
      </w:r>
      <w:r w:rsidRPr="00972EB1">
        <w:rPr>
          <w:b/>
          <w:szCs w:val="24"/>
          <w:u w:val="single"/>
        </w:rPr>
        <w:t>reklámhordozó papír</w:t>
      </w:r>
      <w:r w:rsidRPr="00972EB1">
        <w:rPr>
          <w:b/>
          <w:szCs w:val="24"/>
        </w:rPr>
        <w:t xml:space="preserve"> termékáram esetében tehát tényleges adminisztrációs előnyt nem lehet kimutatni.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 xml:space="preserve">A </w:t>
      </w:r>
      <w:r w:rsidRPr="00972EB1">
        <w:rPr>
          <w:i/>
          <w:szCs w:val="24"/>
        </w:rPr>
        <w:t>csomagolás</w:t>
      </w:r>
      <w:r w:rsidRPr="00972EB1">
        <w:rPr>
          <w:szCs w:val="24"/>
        </w:rPr>
        <w:t xml:space="preserve"> tekintetében a törvényi hatály kérdése összetettebb. A jogszabály nem egyszerűen a tárgyi és ezzel az alanyi hatályt változtatta meg, hanem a </w:t>
      </w:r>
      <w:proofErr w:type="spellStart"/>
      <w:r w:rsidRPr="00972EB1">
        <w:rPr>
          <w:szCs w:val="24"/>
        </w:rPr>
        <w:t>kötelezetti</w:t>
      </w:r>
      <w:proofErr w:type="spellEnd"/>
      <w:r w:rsidRPr="00972EB1">
        <w:rPr>
          <w:szCs w:val="24"/>
        </w:rPr>
        <w:t xml:space="preserve"> kört össze is keve</w:t>
      </w:r>
      <w:r w:rsidRPr="00972EB1">
        <w:rPr>
          <w:szCs w:val="24"/>
        </w:rPr>
        <w:t>r</w:t>
      </w:r>
      <w:r w:rsidRPr="00972EB1">
        <w:rPr>
          <w:szCs w:val="24"/>
        </w:rPr>
        <w:t xml:space="preserve">te. 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 törvény a csomagolások helyett a csomagolószereket és elsődlegesen azok belföldi gyártóit, tová</w:t>
      </w:r>
      <w:r w:rsidRPr="00972EB1">
        <w:rPr>
          <w:szCs w:val="24"/>
        </w:rPr>
        <w:t>b</w:t>
      </w:r>
      <w:r w:rsidRPr="00972EB1">
        <w:rPr>
          <w:szCs w:val="24"/>
        </w:rPr>
        <w:t>bá az import eredetű csomagolószerek első belföldi forgalmazóit tette meg kötelezettnek. A külföl</w:t>
      </w:r>
      <w:r w:rsidRPr="00972EB1">
        <w:rPr>
          <w:szCs w:val="24"/>
        </w:rPr>
        <w:t>d</w:t>
      </w:r>
      <w:r w:rsidRPr="00972EB1">
        <w:rPr>
          <w:szCs w:val="24"/>
        </w:rPr>
        <w:t>ről beérkező termékek esetében azonban a csomagolás, illetve annak importőre maradt a kötel</w:t>
      </w:r>
      <w:r w:rsidRPr="00972EB1">
        <w:rPr>
          <w:szCs w:val="24"/>
        </w:rPr>
        <w:t>e</w:t>
      </w:r>
      <w:r w:rsidRPr="00972EB1">
        <w:rPr>
          <w:szCs w:val="24"/>
        </w:rPr>
        <w:t>zett (függetlenül attól, hogy az áru kereskedelmi célt, vagy saját célú felhasználást szolgál). Így van olyan gazdálkodó szervezet, amelyik belföldi beszerzése után ugyan nem, de az import forgalma miatt t</w:t>
      </w:r>
      <w:r w:rsidRPr="00972EB1">
        <w:rPr>
          <w:szCs w:val="24"/>
        </w:rPr>
        <w:t>o</w:t>
      </w:r>
      <w:r w:rsidRPr="00972EB1">
        <w:rPr>
          <w:szCs w:val="24"/>
        </w:rPr>
        <w:t xml:space="preserve">vábbra is kötelezett. A jogalkotó a csomagolószerekre nem is terjesztette ki az átalányt, mivel a mennyiségi korlátok mind gyártási, mind forgalmazási tekintetben értelmezhetetlenek.  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 xml:space="preserve">Ez az oka, hogy a jogalkotó az átalánydíjat már a jelenleg hatályos törvényben is a </w:t>
      </w:r>
      <w:r w:rsidRPr="00972EB1">
        <w:rPr>
          <w:i/>
          <w:szCs w:val="24"/>
        </w:rPr>
        <w:t>csomagolásra</w:t>
      </w:r>
      <w:r w:rsidRPr="00972EB1">
        <w:rPr>
          <w:szCs w:val="24"/>
        </w:rPr>
        <w:t xml:space="preserve"> vonatkoztatja (noha az nem tárgya a törvénynek), ugyanakkor nem t</w:t>
      </w:r>
      <w:r w:rsidRPr="00972EB1">
        <w:rPr>
          <w:szCs w:val="24"/>
        </w:rPr>
        <w:t>e</w:t>
      </w:r>
      <w:r w:rsidRPr="00972EB1">
        <w:rPr>
          <w:szCs w:val="24"/>
        </w:rPr>
        <w:t>remti meg a jogi környezetet, hogy a csomagolást csekély volumenben kibocsátók valóban élni is tudjanak e leh</w:t>
      </w:r>
      <w:r w:rsidRPr="00972EB1">
        <w:rPr>
          <w:szCs w:val="24"/>
        </w:rPr>
        <w:t>e</w:t>
      </w:r>
      <w:r w:rsidRPr="00972EB1">
        <w:rPr>
          <w:szCs w:val="24"/>
        </w:rPr>
        <w:t>tőséggel. A csekély mennyiségű csomagolást kibocsátóknak ugyanis nincs lehetőségük – ami a mezőgazdasági termelő</w:t>
      </w:r>
      <w:r w:rsidRPr="00972EB1">
        <w:rPr>
          <w:szCs w:val="24"/>
        </w:rPr>
        <w:t>k</w:t>
      </w:r>
      <w:r w:rsidRPr="00972EB1">
        <w:rPr>
          <w:szCs w:val="24"/>
        </w:rPr>
        <w:t>nek adott –, hogy nyilatkozat adásával termékdíj-mentesen szerezzék be belföldről csomagolószereiket és a kib</w:t>
      </w:r>
      <w:r w:rsidRPr="00972EB1">
        <w:rPr>
          <w:szCs w:val="24"/>
        </w:rPr>
        <w:t>o</w:t>
      </w:r>
      <w:r w:rsidRPr="00972EB1">
        <w:rPr>
          <w:szCs w:val="24"/>
        </w:rPr>
        <w:t>csátáskor fizessék csak az átalánydíjat.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 termékdíj átalány rendszere az import eredetű csomagolószerek csomagolási célú közvetlen b</w:t>
      </w:r>
      <w:r w:rsidRPr="00972EB1">
        <w:rPr>
          <w:szCs w:val="24"/>
        </w:rPr>
        <w:t>e</w:t>
      </w:r>
      <w:r w:rsidRPr="00972EB1">
        <w:rPr>
          <w:szCs w:val="24"/>
        </w:rPr>
        <w:t>szerzése esetén lehet hasznos a kibocsátónak (bár a volumenek miatt életszerűsége kicsi). Ez a hazai csomagolószer-gyártók számára viszont ve</w:t>
      </w:r>
      <w:r w:rsidRPr="00972EB1">
        <w:rPr>
          <w:szCs w:val="24"/>
        </w:rPr>
        <w:t>r</w:t>
      </w:r>
      <w:r w:rsidRPr="00972EB1">
        <w:rPr>
          <w:szCs w:val="24"/>
        </w:rPr>
        <w:t>senyhátrányt jelent.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Valódi könnyítést az átalányrendszer csak a külföldről beérkezett áru csomagolásának saját célú fe</w:t>
      </w:r>
      <w:r w:rsidRPr="00972EB1">
        <w:rPr>
          <w:szCs w:val="24"/>
        </w:rPr>
        <w:t>l</w:t>
      </w:r>
      <w:r w:rsidRPr="00972EB1">
        <w:rPr>
          <w:szCs w:val="24"/>
        </w:rPr>
        <w:t>használásának esetére adhat.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b/>
          <w:szCs w:val="24"/>
        </w:rPr>
      </w:pPr>
      <w:r w:rsidRPr="00972EB1">
        <w:rPr>
          <w:b/>
          <w:szCs w:val="24"/>
        </w:rPr>
        <w:lastRenderedPageBreak/>
        <w:t xml:space="preserve">Megítélésünk szerint tehát a </w:t>
      </w:r>
      <w:r w:rsidRPr="00972EB1">
        <w:rPr>
          <w:b/>
          <w:szCs w:val="24"/>
          <w:u w:val="single"/>
        </w:rPr>
        <w:t>csomagolószer</w:t>
      </w:r>
      <w:r w:rsidRPr="00972EB1">
        <w:rPr>
          <w:b/>
          <w:szCs w:val="24"/>
        </w:rPr>
        <w:t xml:space="preserve"> termékáram tekintetében az átalánydíjas rendszer</w:t>
      </w:r>
      <w:r w:rsidRPr="00972EB1">
        <w:rPr>
          <w:b/>
          <w:i/>
          <w:szCs w:val="24"/>
        </w:rPr>
        <w:t xml:space="preserve"> </w:t>
      </w:r>
      <w:r w:rsidRPr="00972EB1">
        <w:rPr>
          <w:b/>
          <w:szCs w:val="24"/>
        </w:rPr>
        <w:t>a kötelezettek széles körét jelentő</w:t>
      </w:r>
      <w:r w:rsidRPr="00972EB1">
        <w:rPr>
          <w:b/>
          <w:i/>
          <w:szCs w:val="24"/>
        </w:rPr>
        <w:t xml:space="preserve"> </w:t>
      </w:r>
      <w:r w:rsidRPr="00972EB1">
        <w:rPr>
          <w:b/>
          <w:szCs w:val="24"/>
        </w:rPr>
        <w:t>belföldi gyártók, továbbá az import áruval belföldön kereskedő ga</w:t>
      </w:r>
      <w:r w:rsidRPr="00972EB1">
        <w:rPr>
          <w:b/>
          <w:szCs w:val="24"/>
        </w:rPr>
        <w:t>z</w:t>
      </w:r>
      <w:r w:rsidRPr="00972EB1">
        <w:rPr>
          <w:b/>
          <w:szCs w:val="24"/>
        </w:rPr>
        <w:t xml:space="preserve">dálkodók számára </w:t>
      </w:r>
      <w:r w:rsidRPr="00972EB1">
        <w:rPr>
          <w:b/>
          <w:i/>
          <w:szCs w:val="24"/>
        </w:rPr>
        <w:t>alkalmazhatatlan</w:t>
      </w:r>
      <w:r w:rsidRPr="00972EB1">
        <w:rPr>
          <w:b/>
          <w:szCs w:val="24"/>
        </w:rPr>
        <w:t>, csak a külföldi eredetű terméket saját célú felhasználásra beszerzők számára kínál előnyt, így lényeges adminisztráció-csökkentő hatása nincs. Ugyanez mondható el a többi termékáram esetén is.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i/>
          <w:szCs w:val="24"/>
        </w:rPr>
      </w:pPr>
      <w:r w:rsidRPr="00972EB1">
        <w:rPr>
          <w:i/>
          <w:szCs w:val="24"/>
        </w:rPr>
        <w:t>Átalánydíjas mennyiségek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 xml:space="preserve">A csomagolószerekre vonatkozó átalánydíjas mennyiségek emelése az adminisztráció csökkentés érdekében rendkívül üdvözlendő. 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Ugyanakkor az újonnan bevonni tervezett termékáramok esetében a megállapított volumenek alacsonynak tűnnek ahhoz, hogy valódi, sok kötelezettet érintő könnyítést jelentsen. Például a telef</w:t>
      </w:r>
      <w:r w:rsidRPr="00972EB1">
        <w:rPr>
          <w:szCs w:val="24"/>
        </w:rPr>
        <w:t>o</w:t>
      </w:r>
      <w:r w:rsidRPr="00972EB1">
        <w:rPr>
          <w:szCs w:val="24"/>
        </w:rPr>
        <w:t>nok esetében az 5 kg-os határ kb. 40 db készüléket jelent, ugyanakkor a háztartási nagygépek eset</w:t>
      </w:r>
      <w:r w:rsidRPr="00972EB1">
        <w:rPr>
          <w:szCs w:val="24"/>
        </w:rPr>
        <w:t>é</w:t>
      </w:r>
      <w:r w:rsidRPr="00972EB1">
        <w:rPr>
          <w:szCs w:val="24"/>
        </w:rPr>
        <w:t>ben a 40 kg-os limit akár 1 db-ra is kevés lehet.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ind w:left="284" w:hanging="284"/>
        <w:jc w:val="both"/>
        <w:rPr>
          <w:b/>
          <w:szCs w:val="24"/>
        </w:rPr>
      </w:pPr>
      <w:r w:rsidRPr="00972EB1">
        <w:rPr>
          <w:b/>
          <w:szCs w:val="24"/>
        </w:rPr>
        <w:t xml:space="preserve">II. </w:t>
      </w:r>
      <w:proofErr w:type="gramStart"/>
      <w:r w:rsidRPr="00972EB1">
        <w:rPr>
          <w:b/>
          <w:szCs w:val="24"/>
        </w:rPr>
        <w:t>A</w:t>
      </w:r>
      <w:proofErr w:type="gramEnd"/>
      <w:r w:rsidRPr="00972EB1">
        <w:rPr>
          <w:b/>
          <w:szCs w:val="24"/>
        </w:rPr>
        <w:t xml:space="preserve"> fizetési kötelezettségekre vonatkozó részletek szabályozása</w:t>
      </w:r>
    </w:p>
    <w:p w:rsidR="00972EB1" w:rsidRPr="00972EB1" w:rsidRDefault="00972EB1" w:rsidP="00972EB1">
      <w:pPr>
        <w:spacing w:line="276" w:lineRule="auto"/>
        <w:ind w:left="284" w:hanging="284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 fizetési kötelezettségek törvényi szintre és egy jogszabályba rendezése üdvözlendő.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 fizetési kötelezettséggel összefüggésben rendezendőnek ítéljük egy számlazáradék szövegez</w:t>
      </w:r>
      <w:r w:rsidRPr="00972EB1">
        <w:rPr>
          <w:szCs w:val="24"/>
        </w:rPr>
        <w:t>é</w:t>
      </w:r>
      <w:r w:rsidRPr="00972EB1">
        <w:rPr>
          <w:szCs w:val="24"/>
        </w:rPr>
        <w:t>sét, versenyhátrányt okozó tartalma miatt.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 termékdíj visszaigénylésére jogosult vevő kérésére a törvény olyan számlazáradék használatát írja elő, amely a viszonteladásban érdekelt vállalatok számára versenyhátrányt jelent. Az a kötel</w:t>
      </w:r>
      <w:r w:rsidRPr="00972EB1">
        <w:rPr>
          <w:szCs w:val="24"/>
        </w:rPr>
        <w:t>e</w:t>
      </w:r>
      <w:r w:rsidRPr="00972EB1">
        <w:rPr>
          <w:szCs w:val="24"/>
        </w:rPr>
        <w:t>zettség, hogy a viszonteladó az eredeti kötelezett nevét, címét, adószámát a kimenő számláján fel kell, hogy tüntesse, azt eredményezi, hogy a vevő az eladó megkerülésére lehetőséget adó információ birtok</w:t>
      </w:r>
      <w:r w:rsidRPr="00972EB1">
        <w:rPr>
          <w:szCs w:val="24"/>
        </w:rPr>
        <w:t>á</w:t>
      </w:r>
      <w:r w:rsidRPr="00972EB1">
        <w:rPr>
          <w:szCs w:val="24"/>
        </w:rPr>
        <w:t xml:space="preserve">ba jut. 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b/>
          <w:szCs w:val="24"/>
        </w:rPr>
      </w:pPr>
      <w:r w:rsidRPr="00972EB1">
        <w:rPr>
          <w:b/>
          <w:szCs w:val="24"/>
        </w:rPr>
        <w:t>Javasoljuk tehát e számlazáradék adattartalmának korlátozását (csupán az eredeti számla szám</w:t>
      </w:r>
      <w:r w:rsidRPr="00972EB1">
        <w:rPr>
          <w:b/>
          <w:szCs w:val="24"/>
        </w:rPr>
        <w:t>á</w:t>
      </w:r>
      <w:r w:rsidRPr="00972EB1">
        <w:rPr>
          <w:b/>
          <w:szCs w:val="24"/>
        </w:rPr>
        <w:t xml:space="preserve">nak megadásával, ami a visszagöngyöléshez elegendő segítséget ad). </w:t>
      </w:r>
    </w:p>
    <w:p w:rsidR="00972EB1" w:rsidRPr="00972EB1" w:rsidRDefault="00972EB1" w:rsidP="00972EB1">
      <w:pPr>
        <w:spacing w:line="276" w:lineRule="auto"/>
        <w:jc w:val="both"/>
        <w:rPr>
          <w:b/>
          <w:szCs w:val="24"/>
        </w:rPr>
      </w:pPr>
    </w:p>
    <w:p w:rsidR="00972EB1" w:rsidRPr="00972EB1" w:rsidRDefault="00D05F78" w:rsidP="00972EB1">
      <w:pPr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 xml:space="preserve">III. 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szabályozás pontosításai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 xml:space="preserve">Fontos javítása a törvények a gyártási </w:t>
      </w:r>
      <w:proofErr w:type="spellStart"/>
      <w:r w:rsidRPr="00972EB1">
        <w:rPr>
          <w:szCs w:val="24"/>
        </w:rPr>
        <w:t>esel</w:t>
      </w:r>
      <w:bookmarkStart w:id="0" w:name="_GoBack"/>
      <w:bookmarkEnd w:id="0"/>
      <w:r w:rsidRPr="00972EB1">
        <w:rPr>
          <w:szCs w:val="24"/>
        </w:rPr>
        <w:t>ék</w:t>
      </w:r>
      <w:proofErr w:type="spellEnd"/>
      <w:r w:rsidRPr="00972EB1">
        <w:rPr>
          <w:szCs w:val="24"/>
        </w:rPr>
        <w:t xml:space="preserve"> és selejt nem saját célú </w:t>
      </w:r>
      <w:proofErr w:type="spellStart"/>
      <w:r w:rsidRPr="00972EB1">
        <w:rPr>
          <w:szCs w:val="24"/>
        </w:rPr>
        <w:t>felhasználáskénti</w:t>
      </w:r>
      <w:proofErr w:type="spellEnd"/>
      <w:r w:rsidRPr="00972EB1">
        <w:rPr>
          <w:szCs w:val="24"/>
        </w:rPr>
        <w:t xml:space="preserve"> újbóli deklar</w:t>
      </w:r>
      <w:r w:rsidRPr="00972EB1">
        <w:rPr>
          <w:szCs w:val="24"/>
        </w:rPr>
        <w:t>á</w:t>
      </w:r>
      <w:r w:rsidRPr="00972EB1">
        <w:rPr>
          <w:szCs w:val="24"/>
        </w:rPr>
        <w:t xml:space="preserve">lása. 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i/>
          <w:szCs w:val="24"/>
        </w:rPr>
      </w:pPr>
      <w:r w:rsidRPr="00972EB1">
        <w:rPr>
          <w:i/>
          <w:szCs w:val="24"/>
        </w:rPr>
        <w:lastRenderedPageBreak/>
        <w:t>Konkrét észrevételek: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 14.§ (3a) új bekezdése az átvállalási szerződés hibás teljesítésének tekinti – egyebek mellett – a nem hatályos díjtétel felszámítását, ami miatt pedig a termékdíj-kötelezettség nem száll át az átváll</w:t>
      </w:r>
      <w:r w:rsidRPr="00972EB1">
        <w:rPr>
          <w:szCs w:val="24"/>
        </w:rPr>
        <w:t>a</w:t>
      </w:r>
      <w:r w:rsidRPr="00972EB1">
        <w:rPr>
          <w:szCs w:val="24"/>
        </w:rPr>
        <w:t xml:space="preserve">lóra. </w:t>
      </w:r>
    </w:p>
    <w:p w:rsidR="00972EB1" w:rsidRPr="00972EB1" w:rsidRDefault="00972EB1" w:rsidP="00972EB1">
      <w:pPr>
        <w:spacing w:line="276" w:lineRule="auto"/>
        <w:jc w:val="both"/>
        <w:rPr>
          <w:b/>
          <w:szCs w:val="24"/>
        </w:rPr>
      </w:pPr>
      <w:r w:rsidRPr="00972EB1">
        <w:rPr>
          <w:b/>
          <w:szCs w:val="24"/>
        </w:rPr>
        <w:t>Álláspontunk szerint az átvállalási szerződés alapján kiállított számláknak nem kell termékdíjat ta</w:t>
      </w:r>
      <w:r w:rsidRPr="00972EB1">
        <w:rPr>
          <w:b/>
          <w:szCs w:val="24"/>
        </w:rPr>
        <w:t>r</w:t>
      </w:r>
      <w:r w:rsidRPr="00972EB1">
        <w:rPr>
          <w:b/>
          <w:szCs w:val="24"/>
        </w:rPr>
        <w:t>talmazniuk, így e szövegrész felülvizsgálatát javasoljuk.</w:t>
      </w:r>
    </w:p>
    <w:p w:rsidR="00972EB1" w:rsidRPr="00972EB1" w:rsidRDefault="00972EB1" w:rsidP="00972EB1">
      <w:pPr>
        <w:spacing w:before="240" w:line="276" w:lineRule="auto"/>
        <w:jc w:val="both"/>
        <w:rPr>
          <w:spacing w:val="-4"/>
          <w:szCs w:val="24"/>
        </w:rPr>
      </w:pPr>
      <w:r w:rsidRPr="00972EB1">
        <w:rPr>
          <w:spacing w:val="-4"/>
          <w:szCs w:val="24"/>
        </w:rPr>
        <w:t>A törvényjavaslat új, 14/A §</w:t>
      </w:r>
      <w:proofErr w:type="spellStart"/>
      <w:r w:rsidRPr="00972EB1">
        <w:rPr>
          <w:spacing w:val="-4"/>
          <w:szCs w:val="24"/>
        </w:rPr>
        <w:t>-</w:t>
      </w:r>
      <w:proofErr w:type="gramStart"/>
      <w:r w:rsidRPr="00972EB1">
        <w:rPr>
          <w:spacing w:val="-4"/>
          <w:szCs w:val="24"/>
        </w:rPr>
        <w:t>a</w:t>
      </w:r>
      <w:proofErr w:type="spellEnd"/>
      <w:proofErr w:type="gramEnd"/>
      <w:r w:rsidRPr="00972EB1">
        <w:rPr>
          <w:spacing w:val="-4"/>
          <w:szCs w:val="24"/>
        </w:rPr>
        <w:t xml:space="preserve"> az átvállalási szerződések hatályosságának kérdését szabályozza. </w:t>
      </w:r>
      <w:r w:rsidRPr="00972EB1">
        <w:rPr>
          <w:i/>
          <w:szCs w:val="24"/>
        </w:rPr>
        <w:t>Fontosnak ítéljük törvényi szinten rendezni azt, hogy a bejelentés az átvállaló kötelezettsége</w:t>
      </w:r>
      <w:r w:rsidRPr="00972EB1">
        <w:rPr>
          <w:szCs w:val="24"/>
        </w:rPr>
        <w:t>, ezt továb</w:t>
      </w:r>
      <w:r w:rsidRPr="00972EB1">
        <w:rPr>
          <w:szCs w:val="24"/>
        </w:rPr>
        <w:t>b</w:t>
      </w:r>
      <w:r w:rsidRPr="00972EB1">
        <w:rPr>
          <w:szCs w:val="24"/>
        </w:rPr>
        <w:t>ra is a végrehajtási kormányrendelet tartalmazza, pedig a hatályosság szempontjából a törvényben lenne a helye.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b/>
          <w:szCs w:val="24"/>
        </w:rPr>
      </w:pPr>
      <w:r w:rsidRPr="00972EB1">
        <w:rPr>
          <w:b/>
          <w:szCs w:val="24"/>
        </w:rPr>
        <w:t xml:space="preserve">IV. Összefoglalás 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 xml:space="preserve">A vállalati adminisztrációs terhek csökkentésére vonatkozó törekvéseket örömmel vesszük. 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  <w:r w:rsidRPr="00972EB1">
        <w:rPr>
          <w:szCs w:val="24"/>
        </w:rPr>
        <w:t>A tárgyi hatály megváltozásának következtében egy sor új átvállalási és visszaigénylési formát ki ke</w:t>
      </w:r>
      <w:r w:rsidRPr="00972EB1">
        <w:rPr>
          <w:szCs w:val="24"/>
        </w:rPr>
        <w:t>l</w:t>
      </w:r>
      <w:r w:rsidRPr="00972EB1">
        <w:rPr>
          <w:szCs w:val="24"/>
        </w:rPr>
        <w:t xml:space="preserve">lett alakítani és legújabban a termékdíj raktár intézményrendszere került bevezetésre, mind-mind adminisztrációs többletet igényelve gazdálkodótól, hatóságtól egyaránt. </w:t>
      </w:r>
    </w:p>
    <w:p w:rsidR="00972EB1" w:rsidRPr="00972EB1" w:rsidRDefault="00972EB1" w:rsidP="00972EB1">
      <w:pPr>
        <w:spacing w:line="276" w:lineRule="auto"/>
        <w:jc w:val="both"/>
        <w:rPr>
          <w:szCs w:val="24"/>
        </w:rPr>
      </w:pPr>
    </w:p>
    <w:p w:rsidR="00D01A57" w:rsidRPr="00972EB1" w:rsidRDefault="00972EB1" w:rsidP="00972EB1">
      <w:pPr>
        <w:jc w:val="both"/>
        <w:rPr>
          <w:szCs w:val="24"/>
        </w:rPr>
      </w:pPr>
      <w:r w:rsidRPr="00972EB1">
        <w:rPr>
          <w:b/>
          <w:szCs w:val="24"/>
        </w:rPr>
        <w:t>Az adminisztráció csökke</w:t>
      </w:r>
      <w:r w:rsidRPr="00972EB1">
        <w:rPr>
          <w:b/>
          <w:szCs w:val="24"/>
        </w:rPr>
        <w:t>n</w:t>
      </w:r>
      <w:r w:rsidRPr="00972EB1">
        <w:rPr>
          <w:b/>
          <w:szCs w:val="24"/>
        </w:rPr>
        <w:t>tés szempontjából tényleges előrelépést az jelentene, ha a jogalkotó az adminisztrációs kötelezettség szempontjából nem csupán a bevallásra kötelezettek, illetve a beva</w:t>
      </w:r>
      <w:r w:rsidRPr="00972EB1">
        <w:rPr>
          <w:b/>
          <w:szCs w:val="24"/>
        </w:rPr>
        <w:t>l</w:t>
      </w:r>
      <w:r w:rsidRPr="00972EB1">
        <w:rPr>
          <w:b/>
          <w:szCs w:val="24"/>
        </w:rPr>
        <w:t>lások számának csökkentésére koncentrálna, hanem érdemben felülvizsgálná a helytelenül megv</w:t>
      </w:r>
      <w:r w:rsidRPr="00972EB1">
        <w:rPr>
          <w:b/>
          <w:szCs w:val="24"/>
        </w:rPr>
        <w:t>á</w:t>
      </w:r>
      <w:r w:rsidRPr="00972EB1">
        <w:rPr>
          <w:b/>
          <w:szCs w:val="24"/>
        </w:rPr>
        <w:t>lasztott alanyi és tárgyi hatály módosításának lehetőségét és következményit.</w:t>
      </w:r>
    </w:p>
    <w:p w:rsidR="0083455A" w:rsidRPr="00972EB1" w:rsidRDefault="0083455A" w:rsidP="00796B93">
      <w:pPr>
        <w:jc w:val="both"/>
        <w:rPr>
          <w:szCs w:val="24"/>
        </w:rPr>
      </w:pPr>
    </w:p>
    <w:p w:rsidR="006F3B94" w:rsidRPr="00972EB1" w:rsidRDefault="006F3B94" w:rsidP="00796B93">
      <w:pPr>
        <w:jc w:val="both"/>
        <w:rPr>
          <w:szCs w:val="24"/>
        </w:rPr>
      </w:pPr>
    </w:p>
    <w:p w:rsidR="000423D6" w:rsidRPr="00972EB1" w:rsidRDefault="00183F0E" w:rsidP="00796B93">
      <w:pPr>
        <w:jc w:val="both"/>
        <w:rPr>
          <w:szCs w:val="24"/>
        </w:rPr>
      </w:pPr>
      <w:r w:rsidRPr="00972EB1">
        <w:rPr>
          <w:szCs w:val="24"/>
        </w:rPr>
        <w:t>2014</w:t>
      </w:r>
      <w:r w:rsidR="000473C3" w:rsidRPr="00972EB1">
        <w:rPr>
          <w:szCs w:val="24"/>
        </w:rPr>
        <w:t xml:space="preserve">. </w:t>
      </w:r>
      <w:r w:rsidR="0003565B" w:rsidRPr="00972EB1">
        <w:rPr>
          <w:szCs w:val="24"/>
        </w:rPr>
        <w:t>január</w:t>
      </w:r>
      <w:r w:rsidR="000473C3" w:rsidRPr="00972EB1">
        <w:rPr>
          <w:szCs w:val="24"/>
        </w:rPr>
        <w:t xml:space="preserve"> </w:t>
      </w:r>
      <w:r w:rsidR="00972EB1" w:rsidRPr="00972EB1">
        <w:rPr>
          <w:szCs w:val="24"/>
        </w:rPr>
        <w:t>30</w:t>
      </w:r>
      <w:r w:rsidR="000473C3" w:rsidRPr="00972EB1">
        <w:rPr>
          <w:szCs w:val="24"/>
        </w:rPr>
        <w:t>.</w:t>
      </w:r>
    </w:p>
    <w:sectPr w:rsidR="000423D6" w:rsidRPr="00972EB1" w:rsidSect="002975F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6ED" w:rsidRDefault="008F06ED">
      <w:r>
        <w:separator/>
      </w:r>
    </w:p>
  </w:endnote>
  <w:endnote w:type="continuationSeparator" w:id="0">
    <w:p w:rsidR="008F06ED" w:rsidRDefault="008F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OKT Titkárság: 1055 Budapest, Kossuth tér 11.</w:t>
    </w:r>
  </w:p>
  <w:p w:rsidR="00F62078" w:rsidRDefault="00F62078" w:rsidP="00F77403">
    <w:pPr>
      <w:pStyle w:val="llb"/>
      <w:pBdr>
        <w:top w:val="dashDotStroked" w:sz="24" w:space="2" w:color="auto"/>
      </w:pBdr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Postacím: 1860 Bp.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Telefon: 1- 79 51063, 1- 79 53699. Fax: 1- 79 50429.</w:t>
    </w:r>
  </w:p>
  <w:p w:rsidR="00F62078" w:rsidRDefault="00F62078" w:rsidP="00F77403">
    <w:pPr>
      <w:pStyle w:val="llb"/>
      <w:jc w:val="center"/>
      <w:rPr>
        <w:rFonts w:ascii="Clarendon Condensed" w:hAnsi="Clarendon Condensed"/>
        <w:spacing w:val="40"/>
        <w:sz w:val="20"/>
      </w:rPr>
    </w:pPr>
    <w:r>
      <w:rPr>
        <w:rFonts w:ascii="Clarendon Condensed" w:hAnsi="Clarendon Condensed"/>
        <w:spacing w:val="40"/>
        <w:sz w:val="20"/>
      </w:rPr>
      <w:t xml:space="preserve">E-mail: </w:t>
    </w:r>
    <w:hyperlink r:id="rId1" w:history="1">
      <w:r w:rsidRPr="00ED4122">
        <w:rPr>
          <w:rStyle w:val="Hiperhivatkozs"/>
          <w:rFonts w:ascii="Clarendon Condensed" w:hAnsi="Clarendon Condensed"/>
          <w:spacing w:val="40"/>
          <w:sz w:val="20"/>
        </w:rPr>
        <w:t>okttitk@vm.gov.hu</w:t>
      </w:r>
    </w:hyperlink>
  </w:p>
  <w:p w:rsidR="00F62078" w:rsidRPr="002031B2" w:rsidRDefault="00F62078" w:rsidP="00F77403">
    <w:pPr>
      <w:pStyle w:val="llb"/>
      <w:jc w:val="center"/>
      <w:rPr>
        <w:rFonts w:ascii="Clarendon Condensed" w:hAnsi="Clarendon Condensed"/>
        <w:color w:val="000000" w:themeColor="text1"/>
        <w:spacing w:val="40"/>
        <w:sz w:val="20"/>
      </w:rPr>
    </w:pPr>
    <w:r>
      <w:rPr>
        <w:rFonts w:ascii="Clarendon Condensed" w:hAnsi="Clarendon Condensed"/>
        <w:spacing w:val="40"/>
        <w:sz w:val="20"/>
      </w:rPr>
      <w:t>www.oktt.hu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6ED" w:rsidRDefault="008F06ED">
      <w:r>
        <w:separator/>
      </w:r>
    </w:p>
  </w:footnote>
  <w:footnote w:type="continuationSeparator" w:id="0">
    <w:p w:rsidR="008F06ED" w:rsidRDefault="008F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078" w:rsidRDefault="00F62078" w:rsidP="002E2ADE">
    <w:pPr>
      <w:pStyle w:val="lfej"/>
      <w:pBdr>
        <w:bottom w:val="dashDotStroked" w:sz="24" w:space="1" w:color="auto"/>
      </w:pBdr>
      <w:rPr>
        <w:rFonts w:ascii="Clarendon Condensed" w:hAnsi="Clarendon Condensed"/>
        <w:b/>
        <w:sz w:val="16"/>
      </w:rPr>
    </w:pPr>
    <w:r>
      <w:object w:dxaOrig="866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7.75pt;height:81pt" o:ole="">
          <v:imagedata r:id="rId1" o:title=""/>
        </v:shape>
        <o:OLEObject Type="Embed" ProgID="MSPhotoEd.3" ShapeID="_x0000_i1025" DrawAspect="Content" ObjectID="_1452598127" r:id="rId2"/>
      </w:object>
    </w:r>
  </w:p>
  <w:p w:rsidR="00F62078" w:rsidRDefault="00F62078">
    <w:pPr>
      <w:pStyle w:val="lfej"/>
      <w:jc w:val="center"/>
      <w:rPr>
        <w:rFonts w:ascii="Clarendon Condensed" w:hAnsi="Clarendon Condensed"/>
      </w:rPr>
    </w:pPr>
  </w:p>
  <w:p w:rsidR="00F62078" w:rsidRDefault="00F62078">
    <w:pPr>
      <w:pStyle w:val="lfej"/>
      <w:jc w:val="center"/>
      <w:rPr>
        <w:rFonts w:ascii="Clarendon Condensed" w:hAnsi="Clarendon Condense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880"/>
    <w:multiLevelType w:val="hybridMultilevel"/>
    <w:tmpl w:val="FFFAC328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41BFD"/>
    <w:multiLevelType w:val="hybridMultilevel"/>
    <w:tmpl w:val="D7E05AE6"/>
    <w:lvl w:ilvl="0" w:tplc="040E000F">
      <w:start w:val="1"/>
      <w:numFmt w:val="decimal"/>
      <w:lvlText w:val="%1."/>
      <w:lvlJc w:val="left"/>
      <w:pPr>
        <w:ind w:left="294" w:hanging="360"/>
      </w:pPr>
    </w:lvl>
    <w:lvl w:ilvl="1" w:tplc="040E0019">
      <w:start w:val="1"/>
      <w:numFmt w:val="lowerLetter"/>
      <w:lvlText w:val="%2."/>
      <w:lvlJc w:val="left"/>
      <w:pPr>
        <w:ind w:left="1014" w:hanging="360"/>
      </w:pPr>
    </w:lvl>
    <w:lvl w:ilvl="2" w:tplc="040E001B" w:tentative="1">
      <w:start w:val="1"/>
      <w:numFmt w:val="lowerRoman"/>
      <w:lvlText w:val="%3."/>
      <w:lvlJc w:val="right"/>
      <w:pPr>
        <w:ind w:left="1734" w:hanging="180"/>
      </w:pPr>
    </w:lvl>
    <w:lvl w:ilvl="3" w:tplc="040E000F" w:tentative="1">
      <w:start w:val="1"/>
      <w:numFmt w:val="decimal"/>
      <w:lvlText w:val="%4."/>
      <w:lvlJc w:val="left"/>
      <w:pPr>
        <w:ind w:left="2454" w:hanging="360"/>
      </w:pPr>
    </w:lvl>
    <w:lvl w:ilvl="4" w:tplc="040E0019" w:tentative="1">
      <w:start w:val="1"/>
      <w:numFmt w:val="lowerLetter"/>
      <w:lvlText w:val="%5."/>
      <w:lvlJc w:val="left"/>
      <w:pPr>
        <w:ind w:left="3174" w:hanging="360"/>
      </w:pPr>
    </w:lvl>
    <w:lvl w:ilvl="5" w:tplc="040E001B" w:tentative="1">
      <w:start w:val="1"/>
      <w:numFmt w:val="lowerRoman"/>
      <w:lvlText w:val="%6."/>
      <w:lvlJc w:val="right"/>
      <w:pPr>
        <w:ind w:left="3894" w:hanging="180"/>
      </w:pPr>
    </w:lvl>
    <w:lvl w:ilvl="6" w:tplc="040E000F" w:tentative="1">
      <w:start w:val="1"/>
      <w:numFmt w:val="decimal"/>
      <w:lvlText w:val="%7."/>
      <w:lvlJc w:val="left"/>
      <w:pPr>
        <w:ind w:left="4614" w:hanging="360"/>
      </w:pPr>
    </w:lvl>
    <w:lvl w:ilvl="7" w:tplc="040E0019" w:tentative="1">
      <w:start w:val="1"/>
      <w:numFmt w:val="lowerLetter"/>
      <w:lvlText w:val="%8."/>
      <w:lvlJc w:val="left"/>
      <w:pPr>
        <w:ind w:left="5334" w:hanging="360"/>
      </w:pPr>
    </w:lvl>
    <w:lvl w:ilvl="8" w:tplc="040E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A990E4A"/>
    <w:multiLevelType w:val="hybridMultilevel"/>
    <w:tmpl w:val="910C040A"/>
    <w:lvl w:ilvl="0" w:tplc="CECE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429A4"/>
    <w:multiLevelType w:val="hybridMultilevel"/>
    <w:tmpl w:val="77C433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B4B46"/>
    <w:multiLevelType w:val="hybridMultilevel"/>
    <w:tmpl w:val="D3589460"/>
    <w:lvl w:ilvl="0" w:tplc="E6D6398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807705"/>
    <w:multiLevelType w:val="hybridMultilevel"/>
    <w:tmpl w:val="76C6F6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1C1E"/>
    <w:multiLevelType w:val="hybridMultilevel"/>
    <w:tmpl w:val="8A78C41A"/>
    <w:lvl w:ilvl="0" w:tplc="EA38E9E4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51AA9"/>
    <w:multiLevelType w:val="hybridMultilevel"/>
    <w:tmpl w:val="D6504FCE"/>
    <w:lvl w:ilvl="0" w:tplc="5588D78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532F8"/>
    <w:multiLevelType w:val="hybridMultilevel"/>
    <w:tmpl w:val="0C58D9C4"/>
    <w:lvl w:ilvl="0" w:tplc="E7C2A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E20DE"/>
    <w:multiLevelType w:val="hybridMultilevel"/>
    <w:tmpl w:val="5B24DD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8E4571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692C0A6C"/>
    <w:multiLevelType w:val="singleLevel"/>
    <w:tmpl w:val="61DE07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E5C7D92"/>
    <w:multiLevelType w:val="hybridMultilevel"/>
    <w:tmpl w:val="5B6A6CE8"/>
    <w:lvl w:ilvl="0" w:tplc="C75E0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01C29"/>
    <w:multiLevelType w:val="hybridMultilevel"/>
    <w:tmpl w:val="34C24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7F6"/>
    <w:rsid w:val="00011212"/>
    <w:rsid w:val="00016318"/>
    <w:rsid w:val="0003417F"/>
    <w:rsid w:val="0003565B"/>
    <w:rsid w:val="000423D6"/>
    <w:rsid w:val="000473C3"/>
    <w:rsid w:val="00050B13"/>
    <w:rsid w:val="00075591"/>
    <w:rsid w:val="000800B8"/>
    <w:rsid w:val="00080183"/>
    <w:rsid w:val="00087B09"/>
    <w:rsid w:val="00093EA7"/>
    <w:rsid w:val="00094C98"/>
    <w:rsid w:val="000A0179"/>
    <w:rsid w:val="000A2908"/>
    <w:rsid w:val="000A78AC"/>
    <w:rsid w:val="000B13D8"/>
    <w:rsid w:val="000B6074"/>
    <w:rsid w:val="000B6387"/>
    <w:rsid w:val="000E2B9A"/>
    <w:rsid w:val="000E2C5B"/>
    <w:rsid w:val="000F2CC9"/>
    <w:rsid w:val="00101B16"/>
    <w:rsid w:val="0012057F"/>
    <w:rsid w:val="00126BE2"/>
    <w:rsid w:val="00130B64"/>
    <w:rsid w:val="001310C1"/>
    <w:rsid w:val="00147E1C"/>
    <w:rsid w:val="0015324C"/>
    <w:rsid w:val="00154D23"/>
    <w:rsid w:val="00161771"/>
    <w:rsid w:val="00172A0C"/>
    <w:rsid w:val="00176DE3"/>
    <w:rsid w:val="00183F0E"/>
    <w:rsid w:val="001A5508"/>
    <w:rsid w:val="001B1053"/>
    <w:rsid w:val="001B24A1"/>
    <w:rsid w:val="001C24E0"/>
    <w:rsid w:val="001C35D6"/>
    <w:rsid w:val="001C3E85"/>
    <w:rsid w:val="001D2AC7"/>
    <w:rsid w:val="001E05B6"/>
    <w:rsid w:val="001E442F"/>
    <w:rsid w:val="001F0D40"/>
    <w:rsid w:val="001F0F1C"/>
    <w:rsid w:val="001F2879"/>
    <w:rsid w:val="002031B2"/>
    <w:rsid w:val="00204656"/>
    <w:rsid w:val="002120FE"/>
    <w:rsid w:val="00212FBC"/>
    <w:rsid w:val="002158B4"/>
    <w:rsid w:val="002161CB"/>
    <w:rsid w:val="00220757"/>
    <w:rsid w:val="0022093E"/>
    <w:rsid w:val="00220C34"/>
    <w:rsid w:val="00221634"/>
    <w:rsid w:val="00230A6F"/>
    <w:rsid w:val="002627CD"/>
    <w:rsid w:val="00262A06"/>
    <w:rsid w:val="002646F2"/>
    <w:rsid w:val="00271733"/>
    <w:rsid w:val="00275182"/>
    <w:rsid w:val="00275BF2"/>
    <w:rsid w:val="002975FC"/>
    <w:rsid w:val="002A23C1"/>
    <w:rsid w:val="002A2934"/>
    <w:rsid w:val="002A3528"/>
    <w:rsid w:val="002A531F"/>
    <w:rsid w:val="002E1A1D"/>
    <w:rsid w:val="002E2ADE"/>
    <w:rsid w:val="002F5B0E"/>
    <w:rsid w:val="00313049"/>
    <w:rsid w:val="003357FA"/>
    <w:rsid w:val="00337D2A"/>
    <w:rsid w:val="003425B7"/>
    <w:rsid w:val="00360686"/>
    <w:rsid w:val="0036118E"/>
    <w:rsid w:val="0037073D"/>
    <w:rsid w:val="0038408E"/>
    <w:rsid w:val="00386B86"/>
    <w:rsid w:val="003B46F7"/>
    <w:rsid w:val="003C2886"/>
    <w:rsid w:val="003E53F0"/>
    <w:rsid w:val="003E6E53"/>
    <w:rsid w:val="003E715C"/>
    <w:rsid w:val="003F567A"/>
    <w:rsid w:val="00401E82"/>
    <w:rsid w:val="00420093"/>
    <w:rsid w:val="00424227"/>
    <w:rsid w:val="00431537"/>
    <w:rsid w:val="00431BB3"/>
    <w:rsid w:val="00435207"/>
    <w:rsid w:val="00464E1B"/>
    <w:rsid w:val="00467BFB"/>
    <w:rsid w:val="00484898"/>
    <w:rsid w:val="00495240"/>
    <w:rsid w:val="00496913"/>
    <w:rsid w:val="004C4BDF"/>
    <w:rsid w:val="004E3F09"/>
    <w:rsid w:val="004E5DD2"/>
    <w:rsid w:val="004F2071"/>
    <w:rsid w:val="004F2EA4"/>
    <w:rsid w:val="005104B7"/>
    <w:rsid w:val="00520010"/>
    <w:rsid w:val="00525A56"/>
    <w:rsid w:val="00535E81"/>
    <w:rsid w:val="005375F2"/>
    <w:rsid w:val="00562FA2"/>
    <w:rsid w:val="00563552"/>
    <w:rsid w:val="00563632"/>
    <w:rsid w:val="00575C6A"/>
    <w:rsid w:val="00576C82"/>
    <w:rsid w:val="00585442"/>
    <w:rsid w:val="00585762"/>
    <w:rsid w:val="00594008"/>
    <w:rsid w:val="00594B89"/>
    <w:rsid w:val="00597A62"/>
    <w:rsid w:val="005A4DD2"/>
    <w:rsid w:val="005E3DFC"/>
    <w:rsid w:val="005E5E4D"/>
    <w:rsid w:val="006129F6"/>
    <w:rsid w:val="006219C0"/>
    <w:rsid w:val="00632A71"/>
    <w:rsid w:val="00633879"/>
    <w:rsid w:val="006507E6"/>
    <w:rsid w:val="006728E0"/>
    <w:rsid w:val="00685A31"/>
    <w:rsid w:val="006A404E"/>
    <w:rsid w:val="006D3F92"/>
    <w:rsid w:val="006E1DDB"/>
    <w:rsid w:val="006E401D"/>
    <w:rsid w:val="006F3B94"/>
    <w:rsid w:val="00702D46"/>
    <w:rsid w:val="00711969"/>
    <w:rsid w:val="00714AB1"/>
    <w:rsid w:val="00721CE2"/>
    <w:rsid w:val="00721FC9"/>
    <w:rsid w:val="0072465B"/>
    <w:rsid w:val="00725F91"/>
    <w:rsid w:val="0072728F"/>
    <w:rsid w:val="007368DB"/>
    <w:rsid w:val="00741710"/>
    <w:rsid w:val="007428D9"/>
    <w:rsid w:val="00767356"/>
    <w:rsid w:val="00791EFC"/>
    <w:rsid w:val="00796B93"/>
    <w:rsid w:val="007B0C42"/>
    <w:rsid w:val="007E540A"/>
    <w:rsid w:val="007E6C04"/>
    <w:rsid w:val="007F0917"/>
    <w:rsid w:val="008103FA"/>
    <w:rsid w:val="00823BBC"/>
    <w:rsid w:val="0082742C"/>
    <w:rsid w:val="00834273"/>
    <w:rsid w:val="0083455A"/>
    <w:rsid w:val="00841FEB"/>
    <w:rsid w:val="00846191"/>
    <w:rsid w:val="008551A1"/>
    <w:rsid w:val="008551B2"/>
    <w:rsid w:val="0087496A"/>
    <w:rsid w:val="008858EC"/>
    <w:rsid w:val="008B07DA"/>
    <w:rsid w:val="008B4857"/>
    <w:rsid w:val="008C47B5"/>
    <w:rsid w:val="008C5064"/>
    <w:rsid w:val="008E2B70"/>
    <w:rsid w:val="008E3D84"/>
    <w:rsid w:val="008F06ED"/>
    <w:rsid w:val="008F1D7D"/>
    <w:rsid w:val="008F2D4A"/>
    <w:rsid w:val="008F3E4E"/>
    <w:rsid w:val="008F6187"/>
    <w:rsid w:val="008F6763"/>
    <w:rsid w:val="00912902"/>
    <w:rsid w:val="009429E8"/>
    <w:rsid w:val="00956494"/>
    <w:rsid w:val="00960BC4"/>
    <w:rsid w:val="00972EB1"/>
    <w:rsid w:val="009769A6"/>
    <w:rsid w:val="009C7BA0"/>
    <w:rsid w:val="009D5E87"/>
    <w:rsid w:val="009E12D3"/>
    <w:rsid w:val="009E3B32"/>
    <w:rsid w:val="009E6833"/>
    <w:rsid w:val="00A00841"/>
    <w:rsid w:val="00A048D0"/>
    <w:rsid w:val="00A05553"/>
    <w:rsid w:val="00A11583"/>
    <w:rsid w:val="00A11588"/>
    <w:rsid w:val="00A120D2"/>
    <w:rsid w:val="00A162E5"/>
    <w:rsid w:val="00A3277C"/>
    <w:rsid w:val="00A6174F"/>
    <w:rsid w:val="00A76C3D"/>
    <w:rsid w:val="00A812AF"/>
    <w:rsid w:val="00A820ED"/>
    <w:rsid w:val="00A90055"/>
    <w:rsid w:val="00AA6125"/>
    <w:rsid w:val="00AB1F3C"/>
    <w:rsid w:val="00AB4E3A"/>
    <w:rsid w:val="00AF5CE4"/>
    <w:rsid w:val="00B02F68"/>
    <w:rsid w:val="00B05AD4"/>
    <w:rsid w:val="00B05ED6"/>
    <w:rsid w:val="00B07B46"/>
    <w:rsid w:val="00B10ECB"/>
    <w:rsid w:val="00B11A54"/>
    <w:rsid w:val="00B14818"/>
    <w:rsid w:val="00B2329D"/>
    <w:rsid w:val="00B56959"/>
    <w:rsid w:val="00B72F9E"/>
    <w:rsid w:val="00B74896"/>
    <w:rsid w:val="00B9684A"/>
    <w:rsid w:val="00BA6EDA"/>
    <w:rsid w:val="00BB22C8"/>
    <w:rsid w:val="00BB49D5"/>
    <w:rsid w:val="00BB7062"/>
    <w:rsid w:val="00BC0B38"/>
    <w:rsid w:val="00BC2E1C"/>
    <w:rsid w:val="00BD3DB2"/>
    <w:rsid w:val="00BD4865"/>
    <w:rsid w:val="00BE4B9A"/>
    <w:rsid w:val="00BE6548"/>
    <w:rsid w:val="00BF0BA9"/>
    <w:rsid w:val="00BF14C7"/>
    <w:rsid w:val="00C066EE"/>
    <w:rsid w:val="00C1237F"/>
    <w:rsid w:val="00C13CAE"/>
    <w:rsid w:val="00C150DA"/>
    <w:rsid w:val="00C15FDA"/>
    <w:rsid w:val="00C17085"/>
    <w:rsid w:val="00C20F4F"/>
    <w:rsid w:val="00C61588"/>
    <w:rsid w:val="00C86F30"/>
    <w:rsid w:val="00CA1AB4"/>
    <w:rsid w:val="00CA7B47"/>
    <w:rsid w:val="00CB2053"/>
    <w:rsid w:val="00CB3B4E"/>
    <w:rsid w:val="00CE6804"/>
    <w:rsid w:val="00D01A57"/>
    <w:rsid w:val="00D01F6B"/>
    <w:rsid w:val="00D02C60"/>
    <w:rsid w:val="00D05F78"/>
    <w:rsid w:val="00D21664"/>
    <w:rsid w:val="00D218C5"/>
    <w:rsid w:val="00D22E9F"/>
    <w:rsid w:val="00D447FB"/>
    <w:rsid w:val="00D473EB"/>
    <w:rsid w:val="00D53B6A"/>
    <w:rsid w:val="00D61B6D"/>
    <w:rsid w:val="00D769A0"/>
    <w:rsid w:val="00D8190C"/>
    <w:rsid w:val="00D96CAE"/>
    <w:rsid w:val="00DC2A55"/>
    <w:rsid w:val="00DC6AED"/>
    <w:rsid w:val="00DD6525"/>
    <w:rsid w:val="00DE3B4E"/>
    <w:rsid w:val="00DF169E"/>
    <w:rsid w:val="00DF1D22"/>
    <w:rsid w:val="00DF1DFB"/>
    <w:rsid w:val="00E00A6D"/>
    <w:rsid w:val="00E01A50"/>
    <w:rsid w:val="00E06873"/>
    <w:rsid w:val="00E211CC"/>
    <w:rsid w:val="00E3308D"/>
    <w:rsid w:val="00E46CF8"/>
    <w:rsid w:val="00E47A77"/>
    <w:rsid w:val="00E47C7A"/>
    <w:rsid w:val="00E548E1"/>
    <w:rsid w:val="00E56A74"/>
    <w:rsid w:val="00E733CC"/>
    <w:rsid w:val="00E76039"/>
    <w:rsid w:val="00E83ECB"/>
    <w:rsid w:val="00E84956"/>
    <w:rsid w:val="00EC3052"/>
    <w:rsid w:val="00EE38C9"/>
    <w:rsid w:val="00EE756B"/>
    <w:rsid w:val="00EF384C"/>
    <w:rsid w:val="00F00115"/>
    <w:rsid w:val="00F07011"/>
    <w:rsid w:val="00F15CD3"/>
    <w:rsid w:val="00F17B76"/>
    <w:rsid w:val="00F2686A"/>
    <w:rsid w:val="00F35FDA"/>
    <w:rsid w:val="00F5260D"/>
    <w:rsid w:val="00F62078"/>
    <w:rsid w:val="00F67081"/>
    <w:rsid w:val="00F67797"/>
    <w:rsid w:val="00F7549D"/>
    <w:rsid w:val="00F7629D"/>
    <w:rsid w:val="00F77403"/>
    <w:rsid w:val="00F937F6"/>
    <w:rsid w:val="00FA149D"/>
    <w:rsid w:val="00FB3E0B"/>
    <w:rsid w:val="00FB602B"/>
    <w:rsid w:val="00FB7ADD"/>
    <w:rsid w:val="00FC331A"/>
    <w:rsid w:val="00FC3D54"/>
    <w:rsid w:val="00FD032A"/>
    <w:rsid w:val="00FD23C3"/>
    <w:rsid w:val="00FE5B3F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975FC"/>
    <w:rPr>
      <w:sz w:val="24"/>
    </w:rPr>
  </w:style>
  <w:style w:type="paragraph" w:styleId="Cmsor1">
    <w:name w:val="heading 1"/>
    <w:basedOn w:val="Norml"/>
    <w:next w:val="Norml"/>
    <w:qFormat/>
    <w:rsid w:val="002975FC"/>
    <w:pPr>
      <w:keepNext/>
      <w:jc w:val="center"/>
      <w:outlineLvl w:val="0"/>
    </w:pPr>
    <w:rPr>
      <w:b/>
      <w:smallCaps/>
      <w:spacing w:val="60"/>
    </w:rPr>
  </w:style>
  <w:style w:type="paragraph" w:styleId="Cmsor2">
    <w:name w:val="heading 2"/>
    <w:aliases w:val="Jsz_Alcím"/>
    <w:basedOn w:val="Norml"/>
    <w:next w:val="Norml"/>
    <w:qFormat/>
    <w:rsid w:val="002975FC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2975F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975F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2975FC"/>
    <w:rPr>
      <w:sz w:val="28"/>
    </w:rPr>
  </w:style>
  <w:style w:type="paragraph" w:styleId="Szvegtrzs2">
    <w:name w:val="Body Text 2"/>
    <w:basedOn w:val="Norml"/>
    <w:rsid w:val="002975FC"/>
    <w:pPr>
      <w:jc w:val="both"/>
    </w:pPr>
  </w:style>
  <w:style w:type="paragraph" w:styleId="Buborkszveg">
    <w:name w:val="Balloon Text"/>
    <w:basedOn w:val="Norml"/>
    <w:semiHidden/>
    <w:rsid w:val="00525A5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B72F9E"/>
    <w:rPr>
      <w:color w:val="0000FF"/>
      <w:u w:val="single"/>
    </w:rPr>
  </w:style>
  <w:style w:type="paragraph" w:styleId="NormlWeb">
    <w:name w:val="Normal (Web)"/>
    <w:basedOn w:val="Norml"/>
    <w:uiPriority w:val="99"/>
    <w:rsid w:val="001F0F1C"/>
    <w:pPr>
      <w:ind w:firstLine="180"/>
      <w:jc w:val="both"/>
    </w:pPr>
    <w:rPr>
      <w:szCs w:val="24"/>
    </w:rPr>
  </w:style>
  <w:style w:type="paragraph" w:styleId="Jegyzetszveg">
    <w:name w:val="annotation text"/>
    <w:basedOn w:val="Norml"/>
    <w:link w:val="JegyzetszvegChar"/>
    <w:unhideWhenUsed/>
    <w:rsid w:val="001F0F1C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1F0F1C"/>
  </w:style>
  <w:style w:type="paragraph" w:styleId="Listaszerbekezds">
    <w:name w:val="List Paragraph"/>
    <w:basedOn w:val="Norml"/>
    <w:uiPriority w:val="34"/>
    <w:qFormat/>
    <w:rsid w:val="0036118E"/>
    <w:pPr>
      <w:ind w:left="720"/>
      <w:contextualSpacing/>
    </w:pPr>
  </w:style>
  <w:style w:type="paragraph" w:customStyle="1" w:styleId="StlusCmsor2KzprezrtEltte18ptUtna0ptSorkz">
    <w:name w:val="Stílus Címsor 2 + Középre zárt Előtte:  18 pt Utána:  0 pt Sorköz..."/>
    <w:basedOn w:val="Cmsor2"/>
    <w:rsid w:val="00BB7062"/>
    <w:pPr>
      <w:tabs>
        <w:tab w:val="num" w:pos="360"/>
      </w:tabs>
      <w:suppressAutoHyphens/>
      <w:spacing w:before="360" w:line="360" w:lineRule="auto"/>
      <w:ind w:left="360" w:hanging="360"/>
    </w:pPr>
    <w:rPr>
      <w:b w:val="0"/>
      <w:bCs/>
      <w:i/>
      <w:iCs/>
      <w:lang w:eastAsia="ar-SA"/>
    </w:rPr>
  </w:style>
  <w:style w:type="character" w:styleId="Jegyzethivatkozs">
    <w:name w:val="annotation reference"/>
    <w:basedOn w:val="Bekezdsalapbettpusa"/>
    <w:rsid w:val="00172A0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kttitk@vm.gov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4AE07-E873-4204-86BD-75D56585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982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7748</CharactersWithSpaces>
  <SharedDoc>false</SharedDoc>
  <HLinks>
    <vt:vector size="6" baseType="variant"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mailto:okttitk@vm.gov.hu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LakatosL</dc:creator>
  <cp:lastModifiedBy>LakatosL</cp:lastModifiedBy>
  <cp:revision>3</cp:revision>
  <cp:lastPrinted>2009-05-20T08:14:00Z</cp:lastPrinted>
  <dcterms:created xsi:type="dcterms:W3CDTF">2014-01-30T12:15:00Z</dcterms:created>
  <dcterms:modified xsi:type="dcterms:W3CDTF">2014-01-30T13:42:00Z</dcterms:modified>
</cp:coreProperties>
</file>