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98" w:rsidRDefault="000473C3" w:rsidP="003E715C">
      <w:pPr>
        <w:pStyle w:val="NormlWeb"/>
        <w:spacing w:before="240" w:after="240"/>
        <w:ind w:firstLine="0"/>
        <w:jc w:val="center"/>
      </w:pPr>
      <w:bookmarkStart w:id="0" w:name="_GoBack"/>
      <w:bookmarkEnd w:id="0"/>
      <w:r>
        <w:rPr>
          <w:b/>
          <w:bCs/>
          <w:sz w:val="28"/>
          <w:szCs w:val="28"/>
        </w:rPr>
        <w:t>Az Országos Környezetvédelmi Tanács v</w:t>
      </w:r>
      <w:r w:rsidR="008103FA" w:rsidRPr="000473C3">
        <w:rPr>
          <w:b/>
          <w:bCs/>
          <w:sz w:val="28"/>
          <w:szCs w:val="28"/>
        </w:rPr>
        <w:t>élemény</w:t>
      </w:r>
      <w:r>
        <w:rPr>
          <w:b/>
          <w:bCs/>
          <w:sz w:val="28"/>
          <w:szCs w:val="28"/>
        </w:rPr>
        <w:t>e</w:t>
      </w:r>
      <w:r w:rsidR="008103FA" w:rsidRPr="000473C3">
        <w:rPr>
          <w:b/>
          <w:bCs/>
          <w:sz w:val="28"/>
          <w:szCs w:val="28"/>
        </w:rPr>
        <w:t xml:space="preserve"> </w:t>
      </w:r>
      <w:proofErr w:type="gramStart"/>
      <w:r w:rsidR="008103FA" w:rsidRPr="000473C3">
        <w:rPr>
          <w:b/>
          <w:bCs/>
          <w:sz w:val="28"/>
          <w:szCs w:val="28"/>
        </w:rPr>
        <w:t>a</w:t>
      </w:r>
      <w:proofErr w:type="gramEnd"/>
      <w:r w:rsidR="008103FA" w:rsidRPr="000473C3">
        <w:rPr>
          <w:b/>
          <w:bCs/>
          <w:sz w:val="28"/>
          <w:szCs w:val="28"/>
        </w:rPr>
        <w:t xml:space="preserve"> </w:t>
      </w:r>
    </w:p>
    <w:p w:rsidR="008F2D4A" w:rsidRDefault="008F2D4A" w:rsidP="008F2D4A">
      <w:pPr>
        <w:autoSpaceDE w:val="0"/>
        <w:autoSpaceDN w:val="0"/>
        <w:adjustRightInd w:val="0"/>
        <w:jc w:val="center"/>
        <w:rPr>
          <w:b/>
          <w:bCs/>
        </w:rPr>
      </w:pPr>
      <w:r>
        <w:rPr>
          <w:b/>
          <w:bCs/>
        </w:rPr>
        <w:t>A</w:t>
      </w:r>
      <w:r w:rsidRPr="006C1F8F">
        <w:rPr>
          <w:b/>
          <w:bCs/>
        </w:rPr>
        <w:t xml:space="preserve"> veszélyes hulladékkal kapcsolatos tevékenységek végzésének feltételeiről</w:t>
      </w:r>
      <w:r>
        <w:rPr>
          <w:b/>
          <w:bCs/>
        </w:rPr>
        <w:t xml:space="preserve"> </w:t>
      </w:r>
      <w:proofErr w:type="gramStart"/>
      <w:r>
        <w:rPr>
          <w:b/>
          <w:bCs/>
        </w:rPr>
        <w:t xml:space="preserve">szóló </w:t>
      </w:r>
      <w:r w:rsidRPr="006C1F8F">
        <w:rPr>
          <w:b/>
          <w:bCs/>
        </w:rPr>
        <w:t>…</w:t>
      </w:r>
      <w:proofErr w:type="gramEnd"/>
      <w:r w:rsidRPr="006C1F8F">
        <w:rPr>
          <w:b/>
          <w:bCs/>
        </w:rPr>
        <w:t>/201</w:t>
      </w:r>
      <w:r>
        <w:rPr>
          <w:b/>
          <w:bCs/>
        </w:rPr>
        <w:t>3</w:t>
      </w:r>
      <w:r w:rsidRPr="006C1F8F">
        <w:rPr>
          <w:b/>
          <w:bCs/>
        </w:rPr>
        <w:t>. (…) Korm. rendelet</w:t>
      </w:r>
      <w:r w:rsidR="003E715C">
        <w:rPr>
          <w:b/>
          <w:bCs/>
        </w:rPr>
        <w:t xml:space="preserve"> tervezetről</w:t>
      </w:r>
    </w:p>
    <w:p w:rsidR="00F15CD3" w:rsidRDefault="00F15CD3" w:rsidP="008103FA">
      <w:pPr>
        <w:jc w:val="both"/>
      </w:pPr>
    </w:p>
    <w:p w:rsidR="008F2D4A" w:rsidRPr="001B3851" w:rsidRDefault="008F2D4A" w:rsidP="008F2D4A">
      <w:pPr>
        <w:jc w:val="both"/>
        <w:rPr>
          <w:b/>
        </w:rPr>
      </w:pPr>
      <w:r>
        <w:rPr>
          <w:b/>
        </w:rPr>
        <w:t>Általánosan</w:t>
      </w:r>
    </w:p>
    <w:p w:rsidR="00F15CD3" w:rsidRDefault="00F15CD3" w:rsidP="008103FA">
      <w:pPr>
        <w:jc w:val="both"/>
      </w:pPr>
    </w:p>
    <w:p w:rsidR="00DF1DFB" w:rsidRDefault="00DF1DFB" w:rsidP="008103FA">
      <w:pPr>
        <w:jc w:val="both"/>
      </w:pPr>
      <w:r w:rsidRPr="00DF1DFB">
        <w:rPr>
          <w:bCs/>
          <w:iCs/>
        </w:rPr>
        <w:t xml:space="preserve">A hulladéklerakással, valamint a hulladéklerakóval kapcsolatos egyes szabályokról és feltételekről szóló 20/2006. (IV. 5.) </w:t>
      </w:r>
      <w:proofErr w:type="spellStart"/>
      <w:r w:rsidRPr="00DF1DFB">
        <w:rPr>
          <w:bCs/>
          <w:iCs/>
        </w:rPr>
        <w:t>KvVM</w:t>
      </w:r>
      <w:proofErr w:type="spellEnd"/>
      <w:r w:rsidRPr="00DF1DFB">
        <w:rPr>
          <w:bCs/>
          <w:iCs/>
        </w:rPr>
        <w:t xml:space="preserve"> rendelet</w:t>
      </w:r>
      <w:r>
        <w:t xml:space="preserve"> tartalmazza a következőket:</w:t>
      </w:r>
    </w:p>
    <w:p w:rsidR="00DF1DFB" w:rsidRDefault="00DF1DFB" w:rsidP="008103FA">
      <w:pPr>
        <w:jc w:val="both"/>
      </w:pPr>
    </w:p>
    <w:p w:rsidR="00DF1DFB" w:rsidRDefault="00DF1DFB" w:rsidP="008103FA">
      <w:pPr>
        <w:jc w:val="both"/>
      </w:pPr>
      <w:r>
        <w:rPr>
          <w:i/>
        </w:rPr>
        <w:t>2. Melléklet 1.1 f): „</w:t>
      </w:r>
      <w:r w:rsidRPr="00DF1DFB">
        <w:rPr>
          <w:i/>
        </w:rPr>
        <w:t>Ha a hulladék olyan veszélyes összetevőket is tartalmaz, amelyek a 2.2.1.-1. és 2.2.1.-2. táblázatokban nem szerepelnek, akkor ezekre az összetevőkre a hulladék termelője, előkezelője vagy a hulladéklerakó üzemeltetője köteles egyedi kioldási határérték megállapítását kérni a külön jogsza</w:t>
      </w:r>
      <w:r>
        <w:rPr>
          <w:i/>
        </w:rPr>
        <w:t>bályban meghatározott Hulladékm</w:t>
      </w:r>
      <w:r w:rsidRPr="00DF1DFB">
        <w:rPr>
          <w:i/>
        </w:rPr>
        <w:t>inősítő Bizottságtól. Amennyiben az adott típusú hulladék 2.2.1.-1. és 2.2.1.-2. táblázatokban nem szereplő vesz</w:t>
      </w:r>
      <w:r>
        <w:rPr>
          <w:i/>
        </w:rPr>
        <w:t>élyes összetevőjére a Hulladékm</w:t>
      </w:r>
      <w:r w:rsidRPr="00DF1DFB">
        <w:rPr>
          <w:i/>
        </w:rPr>
        <w:t>inősítő Bizottság már korábban egyedi kioldási határértéket állapított meg, akkor a továbbiakban azt kell elfogadni.</w:t>
      </w:r>
      <w:r>
        <w:rPr>
          <w:i/>
        </w:rPr>
        <w:t>”</w:t>
      </w:r>
    </w:p>
    <w:p w:rsidR="00DF1DFB" w:rsidRDefault="00DF1DFB" w:rsidP="008103FA">
      <w:pPr>
        <w:jc w:val="both"/>
      </w:pPr>
    </w:p>
    <w:p w:rsidR="00BB49D5" w:rsidRDefault="00DF1DFB" w:rsidP="008103FA">
      <w:pPr>
        <w:jc w:val="both"/>
      </w:pPr>
      <w:r>
        <w:t>A</w:t>
      </w:r>
      <w:r w:rsidR="00212FBC">
        <w:t>z itt</w:t>
      </w:r>
      <w:r w:rsidR="0072728F">
        <w:t xml:space="preserve"> </w:t>
      </w:r>
      <w:r>
        <w:t xml:space="preserve">hivatkozott rendelet pedig a veszélyes hulladékokra vonatkozó. Jelen tervezet </w:t>
      </w:r>
      <w:r w:rsidR="00BB49D5">
        <w:t>határozza meg</w:t>
      </w:r>
      <w:r w:rsidR="009769A6">
        <w:t xml:space="preserve"> </w:t>
      </w:r>
      <w:r>
        <w:t xml:space="preserve">a Hulladékminősítő Bizottság </w:t>
      </w:r>
      <w:r w:rsidR="009769A6">
        <w:t>feladatait. Ez azonban kizárólag a minősítésre vonatkozik, és nem szerepel benne a lerakáshoz szükséges egyedi kiold</w:t>
      </w:r>
      <w:r w:rsidR="00BB49D5">
        <w:t>ási határértékek meghatározása, különösen annak eljárásrendje. Ez</w:t>
      </w:r>
      <w:r w:rsidR="001310C1">
        <w:t xml:space="preserve">, illetve az a tény, hogy a Bizottság még soha nem gyakorolta ezt a feladatát, </w:t>
      </w:r>
      <w:r w:rsidR="00BB49D5">
        <w:t>súlyos hiátusa a hazai hulladékgazdálkodási rendszernek, pedig e</w:t>
      </w:r>
      <w:r w:rsidR="009769A6">
        <w:t>z a tevékenység nélkülözhetetlen</w:t>
      </w:r>
      <w:r w:rsidR="00BB49D5">
        <w:t xml:space="preserve">. </w:t>
      </w:r>
    </w:p>
    <w:p w:rsidR="00BB49D5" w:rsidRDefault="00BB49D5" w:rsidP="008103FA">
      <w:pPr>
        <w:jc w:val="both"/>
      </w:pPr>
    </w:p>
    <w:p w:rsidR="009769A6" w:rsidRPr="00BD3DB2" w:rsidRDefault="009769A6" w:rsidP="008103FA">
      <w:pPr>
        <w:jc w:val="both"/>
        <w:rPr>
          <w:b/>
          <w:u w:val="single"/>
        </w:rPr>
      </w:pPr>
      <w:r>
        <w:t xml:space="preserve">A hulladékok lerakását szabályozó miniszteri rendelet tartalmazza a </w:t>
      </w:r>
      <w:r w:rsidRPr="009769A6">
        <w:t>2003/33/EK tanácsi határozat</w:t>
      </w:r>
      <w:r>
        <w:t xml:space="preserve"> által megfogalmazott, hulladékok lerakással kapcsolatos átvételi követelményeit, amely </w:t>
      </w:r>
      <w:r w:rsidR="00FC331A">
        <w:t>során a kioldott szennyezőkre vonatkozó határértékek alapján lehet eldönteni, hogy milyen típusú lerakóba kerülhet</w:t>
      </w:r>
      <w:r w:rsidR="00BB49D5">
        <w:t xml:space="preserve"> a hulladék</w:t>
      </w:r>
      <w:r w:rsidR="00FC331A">
        <w:t xml:space="preserve">. Ezek a táblázatok azonban csak a leggyakoribb szennyezőanyagokra </w:t>
      </w:r>
      <w:r w:rsidR="008C5064">
        <w:t>adnak</w:t>
      </w:r>
      <w:r w:rsidR="00FC331A">
        <w:t xml:space="preserve"> határérték</w:t>
      </w:r>
      <w:r w:rsidR="008C5064">
        <w:t>et</w:t>
      </w:r>
      <w:r w:rsidR="00FC331A">
        <w:t xml:space="preserve">. Ha azonban a hulladék alapjellemzése azt mutatja, hogy egyéb szennyezőanyag is jelen van a hulladékban, határérték hiányában nem lehet eldönteni, hogy veszélyes, vagy nem-veszélyes típusú lerakóba kerüljön-e. </w:t>
      </w:r>
      <w:r w:rsidR="00E83ECB">
        <w:t xml:space="preserve">A Bizottság </w:t>
      </w:r>
      <w:proofErr w:type="spellStart"/>
      <w:r w:rsidR="00E83ECB">
        <w:t>ezi</w:t>
      </w:r>
      <w:r w:rsidR="00BD3DB2">
        <w:t>rányú</w:t>
      </w:r>
      <w:proofErr w:type="spellEnd"/>
      <w:r w:rsidR="00BD3DB2">
        <w:t xml:space="preserve"> munkája hiánypótló, és a környezetvédelmi teljesítmény szempontjából elengedhetetlen. </w:t>
      </w:r>
      <w:r w:rsidR="00BD3DB2" w:rsidRPr="00BD3DB2">
        <w:rPr>
          <w:b/>
          <w:u w:val="single"/>
        </w:rPr>
        <w:t>Ezért javasoljuk, hogy az előterjesztő egészítse ki a tervezetet ezzel.</w:t>
      </w:r>
    </w:p>
    <w:p w:rsidR="00DF1DFB" w:rsidRDefault="00DF1DFB" w:rsidP="008103FA">
      <w:pPr>
        <w:jc w:val="both"/>
      </w:pPr>
    </w:p>
    <w:p w:rsidR="00725F91" w:rsidRDefault="00725F91" w:rsidP="00725F91">
      <w:pPr>
        <w:jc w:val="both"/>
        <w:rPr>
          <w:lang w:eastAsia="en-US"/>
        </w:rPr>
      </w:pPr>
      <w:r>
        <w:rPr>
          <w:lang w:eastAsia="en-US"/>
        </w:rPr>
        <w:t xml:space="preserve">Szeretnénk fölhívni a figyelmet arra, hogy </w:t>
      </w:r>
      <w:r w:rsidRPr="00A66BB3">
        <w:rPr>
          <w:lang w:eastAsia="en-US"/>
        </w:rPr>
        <w:t xml:space="preserve">a </w:t>
      </w:r>
      <w:r>
        <w:rPr>
          <w:lang w:eastAsia="en-US"/>
        </w:rPr>
        <w:t xml:space="preserve">törvényi felhatalmazás </w:t>
      </w:r>
      <w:r w:rsidRPr="00725F91">
        <w:rPr>
          <w:b/>
          <w:u w:val="single"/>
          <w:lang w:eastAsia="en-US"/>
        </w:rPr>
        <w:t>veszélyes hulladék képződésének megelőzésével,</w:t>
      </w:r>
      <w:r w:rsidRPr="00A66BB3">
        <w:rPr>
          <w:lang w:eastAsia="en-US"/>
        </w:rPr>
        <w:t xml:space="preserve"> valamint a veszélyes hulladékkal kapcsolatos tevékenységek végzésének feltételeit</w:t>
      </w:r>
      <w:r w:rsidR="00E46CF8">
        <w:rPr>
          <w:lang w:eastAsia="en-US"/>
        </w:rPr>
        <w:t xml:space="preserve"> szabályozó k</w:t>
      </w:r>
      <w:r>
        <w:rPr>
          <w:lang w:eastAsia="en-US"/>
        </w:rPr>
        <w:t xml:space="preserve">ormányrendelet megalkotásáról szól. Ennek megfelelően kívánatos lett volna, hogy a tervezet részletesen szabályozza a veszélyes hulladék képződésének megelőzésére, illetve a veszélyesség mértékének csökkentésére vonatkozó </w:t>
      </w:r>
      <w:r>
        <w:rPr>
          <w:lang w:eastAsia="en-US"/>
        </w:rPr>
        <w:lastRenderedPageBreak/>
        <w:t xml:space="preserve">speciális teendőket, mivel erről a </w:t>
      </w:r>
      <w:proofErr w:type="spellStart"/>
      <w:r>
        <w:rPr>
          <w:lang w:eastAsia="en-US"/>
        </w:rPr>
        <w:t>Ht</w:t>
      </w:r>
      <w:proofErr w:type="spellEnd"/>
      <w:r>
        <w:rPr>
          <w:lang w:eastAsia="en-US"/>
        </w:rPr>
        <w:t xml:space="preserve">. </w:t>
      </w:r>
      <w:proofErr w:type="gramStart"/>
      <w:r>
        <w:rPr>
          <w:lang w:eastAsia="en-US"/>
        </w:rPr>
        <w:t>sem</w:t>
      </w:r>
      <w:proofErr w:type="gramEnd"/>
      <w:r>
        <w:rPr>
          <w:lang w:eastAsia="en-US"/>
        </w:rPr>
        <w:t xml:space="preserve"> mond túl sokat. Ez a véleményünk érinti a rendelet hatályát is.</w:t>
      </w:r>
    </w:p>
    <w:p w:rsidR="00725F91" w:rsidRDefault="00725F91" w:rsidP="008103FA">
      <w:pPr>
        <w:jc w:val="both"/>
      </w:pPr>
    </w:p>
    <w:p w:rsidR="008F2D4A" w:rsidRPr="00DE4B96" w:rsidRDefault="008F2D4A" w:rsidP="008F2D4A">
      <w:pPr>
        <w:jc w:val="both"/>
        <w:rPr>
          <w:b/>
        </w:rPr>
      </w:pPr>
      <w:r>
        <w:rPr>
          <w:b/>
        </w:rPr>
        <w:t>Részletesen</w:t>
      </w:r>
    </w:p>
    <w:p w:rsidR="008F2D4A" w:rsidRDefault="008F2D4A" w:rsidP="008103FA">
      <w:pPr>
        <w:jc w:val="both"/>
      </w:pPr>
    </w:p>
    <w:p w:rsidR="00130B64" w:rsidRDefault="001310C1" w:rsidP="008103FA">
      <w:pPr>
        <w:jc w:val="both"/>
      </w:pPr>
      <w:r>
        <w:t>Technikailag a kormányrendelet hatályba lépése 2014, javasoljuk a vonatkozó dátumok javítását.</w:t>
      </w:r>
    </w:p>
    <w:p w:rsidR="00130B64" w:rsidRDefault="00130B64" w:rsidP="008103FA">
      <w:pPr>
        <w:jc w:val="both"/>
      </w:pPr>
    </w:p>
    <w:p w:rsidR="00147E1C" w:rsidRDefault="00535E81" w:rsidP="008103FA">
      <w:pPr>
        <w:jc w:val="both"/>
        <w:rPr>
          <w:bCs/>
        </w:rPr>
      </w:pPr>
      <w:r>
        <w:rPr>
          <w:b/>
        </w:rPr>
        <w:t>2. §:</w:t>
      </w:r>
      <w:r w:rsidR="00725F91">
        <w:rPr>
          <w:b/>
        </w:rPr>
        <w:t xml:space="preserve"> (3)</w:t>
      </w:r>
      <w:r>
        <w:rPr>
          <w:b/>
        </w:rPr>
        <w:t xml:space="preserve"> </w:t>
      </w:r>
      <w:r>
        <w:t xml:space="preserve">A </w:t>
      </w:r>
      <w:r w:rsidR="00725F91">
        <w:t xml:space="preserve">gyűjtőudvar kapcsán </w:t>
      </w:r>
      <w:r w:rsidR="00E46CF8">
        <w:t xml:space="preserve">a </w:t>
      </w:r>
      <w:r>
        <w:t xml:space="preserve">rendelet tervezet </w:t>
      </w:r>
      <w:r w:rsidR="00725F91">
        <w:t xml:space="preserve">hivatkozik </w:t>
      </w:r>
      <w:r w:rsidR="00725F91" w:rsidRPr="00D60CD2">
        <w:rPr>
          <w:bCs/>
        </w:rPr>
        <w:t>az egyes hulladékgazdálkodási létesítmények kialakításának és üzemeltetésének szabályairól</w:t>
      </w:r>
      <w:r w:rsidR="00725F91">
        <w:rPr>
          <w:bCs/>
        </w:rPr>
        <w:t xml:space="preserve"> szóló miniszteri rendelet 1. mellékletére, amely jelenleg még nem jelent meg. </w:t>
      </w:r>
      <w:r w:rsidR="00050B13">
        <w:rPr>
          <w:bCs/>
        </w:rPr>
        <w:t>Ugyanez vonatkozik a 12. § (5) bekezdésére is.</w:t>
      </w:r>
    </w:p>
    <w:p w:rsidR="00147E1C" w:rsidRDefault="00147E1C" w:rsidP="008103FA">
      <w:pPr>
        <w:jc w:val="both"/>
        <w:rPr>
          <w:bCs/>
        </w:rPr>
      </w:pPr>
    </w:p>
    <w:p w:rsidR="00147E1C" w:rsidRDefault="00147E1C" w:rsidP="00147E1C">
      <w:pPr>
        <w:jc w:val="both"/>
      </w:pPr>
      <w:r>
        <w:rPr>
          <w:b/>
        </w:rPr>
        <w:t>2. § (11):</w:t>
      </w:r>
      <w:r>
        <w:t xml:space="preserve"> A „tartalék hulladék” fogalom lényegében nem szerepel a tervezet szövegében, érdemes lenne megfontolni annak kihúzását. </w:t>
      </w:r>
      <w:r w:rsidRPr="001F6748">
        <w:rPr>
          <w:bCs/>
        </w:rPr>
        <w:t>A hulladékgazdálkodási tevékenységek nyilvántartásba vételéről, valamint hatósági engedélyezéséről szóló 439/2012. (XII. 29.) Korm. rendelet</w:t>
      </w:r>
      <w:r>
        <w:rPr>
          <w:bCs/>
        </w:rPr>
        <w:t xml:space="preserve"> módosításához használja föl a tartalék hulladék fogalmát (ott is „tartalék veszélyes hulladék”</w:t>
      </w:r>
      <w:proofErr w:type="spellStart"/>
      <w:r>
        <w:rPr>
          <w:bCs/>
        </w:rPr>
        <w:t>-ként</w:t>
      </w:r>
      <w:proofErr w:type="spellEnd"/>
      <w:r>
        <w:rPr>
          <w:bCs/>
        </w:rPr>
        <w:t xml:space="preserve">), ezért, ha a fogalomra feltétlenül szükség van, ebben a rendeletben kellene definiálni. </w:t>
      </w:r>
    </w:p>
    <w:p w:rsidR="00535E81" w:rsidRDefault="00535E81" w:rsidP="008103FA">
      <w:pPr>
        <w:jc w:val="both"/>
      </w:pPr>
    </w:p>
    <w:p w:rsidR="00147E1C" w:rsidRPr="000A78AC" w:rsidRDefault="000A78AC" w:rsidP="008103FA">
      <w:pPr>
        <w:jc w:val="both"/>
      </w:pPr>
      <w:r>
        <w:rPr>
          <w:b/>
        </w:rPr>
        <w:t>5. § (5):</w:t>
      </w:r>
      <w:r>
        <w:t xml:space="preserve"> A veszélyes </w:t>
      </w:r>
      <w:proofErr w:type="gramStart"/>
      <w:r>
        <w:t>hulladék szállításra</w:t>
      </w:r>
      <w:proofErr w:type="gramEnd"/>
      <w:r>
        <w:t xml:space="preserve"> való előkészítése során a csomagoláson nem kizárólag a hullad</w:t>
      </w:r>
      <w:r w:rsidR="00050B13">
        <w:t xml:space="preserve">ék kódszámát, hanem annak a veszélyességi jellemzőit (H jellemzők) </w:t>
      </w:r>
      <w:r w:rsidR="00E46CF8">
        <w:t xml:space="preserve">is </w:t>
      </w:r>
      <w:r w:rsidR="00050B13">
        <w:t>fel kell tüntetni, hiszen a gyűjtést és szállítást végző valamennyi személynek jól látható formában tisztában kell lennie az adott veszéllyel, amelyet a hulladék kódszáma nem mutat meg. A tervezet jelenlegi formájában ez opcionális (5. §. (7)). Ugyanez érvényes a 8. § (3)</w:t>
      </w:r>
      <w:proofErr w:type="spellStart"/>
      <w:r w:rsidR="00050B13">
        <w:t>-ra</w:t>
      </w:r>
      <w:proofErr w:type="spellEnd"/>
      <w:r w:rsidR="00050B13">
        <w:t xml:space="preserve"> is.</w:t>
      </w:r>
    </w:p>
    <w:p w:rsidR="00172A0C" w:rsidRDefault="00172A0C" w:rsidP="008103FA">
      <w:pPr>
        <w:jc w:val="both"/>
      </w:pPr>
    </w:p>
    <w:p w:rsidR="009D5E87" w:rsidRDefault="00A11583" w:rsidP="008103FA">
      <w:pPr>
        <w:jc w:val="both"/>
      </w:pPr>
      <w:r>
        <w:rPr>
          <w:b/>
        </w:rPr>
        <w:t>1</w:t>
      </w:r>
      <w:r w:rsidR="009D5E87">
        <w:rPr>
          <w:b/>
        </w:rPr>
        <w:t>4</w:t>
      </w:r>
      <w:r>
        <w:rPr>
          <w:b/>
        </w:rPr>
        <w:t>. § (1)</w:t>
      </w:r>
      <w:r w:rsidR="009D5E87">
        <w:rPr>
          <w:b/>
        </w:rPr>
        <w:t xml:space="preserve"> b</w:t>
      </w:r>
      <w:r w:rsidRPr="009D5E87">
        <w:rPr>
          <w:b/>
        </w:rPr>
        <w:t>:</w:t>
      </w:r>
      <w:r w:rsidRPr="009D5E87">
        <w:t xml:space="preserve"> </w:t>
      </w:r>
      <w:r w:rsidR="009D5E87">
        <w:t xml:space="preserve">Az előterjesztő nem értelmezi a gyakorlati életnek megfelelően a hulladék minősítés intézményét. </w:t>
      </w:r>
      <w:r w:rsidR="009D5E87" w:rsidRPr="009D5E87">
        <w:t>A</w:t>
      </w:r>
      <w:r>
        <w:t xml:space="preserve"> Hulladékminősítő Bizottságnak a környezetvédelmi érdekek érvényesítésével kapcsolatban nem arra van leginkább hatása és felelőssége, hogy a nem veszélyes hulladékokat veszélyessé minősítse, hiszen azt a birtokos saját felelőssége körében, minősítési költségek nélkül is megteheti (</w:t>
      </w:r>
      <w:proofErr w:type="spellStart"/>
      <w:r>
        <w:t>Ht</w:t>
      </w:r>
      <w:proofErr w:type="spellEnd"/>
      <w:r>
        <w:t>. 55. § (1) – (2)</w:t>
      </w:r>
      <w:r w:rsidR="002158B4">
        <w:t>)</w:t>
      </w:r>
      <w:r>
        <w:t xml:space="preserve">. A Bizottság környezeti felelőssége abban van, hogy a lista szerint veszélyesnek besorolt, vagy a korábban ismeretlen összetételű, és ezért </w:t>
      </w:r>
      <w:r w:rsidRPr="00A11583">
        <w:rPr>
          <w:b/>
          <w:u w:val="single"/>
        </w:rPr>
        <w:t>veszélyesnek tartott hulladékról megállapítsa, hogy az nem veszélyes</w:t>
      </w:r>
      <w:r>
        <w:t>. E</w:t>
      </w:r>
      <w:r w:rsidR="00E46CF8">
        <w:t>lsősorban e</w:t>
      </w:r>
      <w:r>
        <w:t>nnek kimondása a Bizottság dolga és feladata</w:t>
      </w:r>
      <w:r w:rsidR="009D5E87">
        <w:t>.</w:t>
      </w:r>
    </w:p>
    <w:p w:rsidR="009D5E87" w:rsidRDefault="009D5E87" w:rsidP="008103FA">
      <w:pPr>
        <w:jc w:val="both"/>
      </w:pPr>
    </w:p>
    <w:p w:rsidR="009D5E87" w:rsidRPr="00562FA2" w:rsidRDefault="0037073D" w:rsidP="008103FA">
      <w:pPr>
        <w:jc w:val="both"/>
      </w:pPr>
      <w:r w:rsidRPr="0037073D">
        <w:rPr>
          <w:b/>
        </w:rPr>
        <w:t xml:space="preserve">15. § (1): </w:t>
      </w:r>
      <w:r w:rsidR="00386B86">
        <w:t xml:space="preserve">A bekezdésben foglaltak több problémát vetnek föl. A </w:t>
      </w:r>
      <w:proofErr w:type="spellStart"/>
      <w:r w:rsidR="00386B86">
        <w:t>NeK</w:t>
      </w:r>
      <w:r w:rsidR="00BF14C7">
        <w:t>I</w:t>
      </w:r>
      <w:proofErr w:type="spellEnd"/>
      <w:r w:rsidR="00386B86">
        <w:t>, mint állami intézmény kizárólag a közbeszerzési szabályok betartása mellett választhatja ki a mintavétellel és vizsgálatokkal megbízható akkreditált laboratóriumot, vagy laboratóriumokat. Mindezt esetről esetre kell megtennie, mert nem biztos, hogy egy már korábban kiválasztott laboratórium az adott esethez szükséges vizsgálatokra, azok valamennyijére akkreditálva van. Szakmai hiányosságnak tűnik az is, hogy az elvégzendő vizsgálatok körét valakinek előre meg kell</w:t>
      </w:r>
      <w:r w:rsidR="00E46CF8">
        <w:t>ene</w:t>
      </w:r>
      <w:r w:rsidR="00386B86">
        <w:t xml:space="preserve"> határoznia, hiszen ettől erősen függ a vállalási ár, amely pedig a közbeszerzési eljárás szintjét </w:t>
      </w:r>
      <w:r w:rsidR="00386B86">
        <w:lastRenderedPageBreak/>
        <w:t xml:space="preserve">fogja befolyásolni. </w:t>
      </w:r>
      <w:r w:rsidR="00386B86" w:rsidRPr="00386B86">
        <w:rPr>
          <w:b/>
          <w:u w:val="single"/>
        </w:rPr>
        <w:t>Javasoljuk a tervezet előterjesztőjének, hogy a rendszert újra, részleteiben gondolja végig.</w:t>
      </w:r>
      <w:r w:rsidR="00386B86">
        <w:t xml:space="preserve"> </w:t>
      </w:r>
    </w:p>
    <w:p w:rsidR="009D5E87" w:rsidRDefault="009D5E87" w:rsidP="008103FA">
      <w:pPr>
        <w:jc w:val="both"/>
      </w:pPr>
    </w:p>
    <w:p w:rsidR="009D5E87" w:rsidRPr="00FB7ADD" w:rsidRDefault="00FB7ADD" w:rsidP="008103FA">
      <w:pPr>
        <w:jc w:val="both"/>
      </w:pPr>
      <w:r w:rsidRPr="0037073D">
        <w:rPr>
          <w:b/>
        </w:rPr>
        <w:t>15. § (</w:t>
      </w:r>
      <w:r>
        <w:rPr>
          <w:b/>
        </w:rPr>
        <w:t>2</w:t>
      </w:r>
      <w:r w:rsidRPr="0037073D">
        <w:rPr>
          <w:b/>
        </w:rPr>
        <w:t>):</w:t>
      </w:r>
      <w:r>
        <w:t xml:space="preserve"> A minták 5 éves tárolásának előírása igen szakmaiatlan, ugyanis a hulladékok vizsgálatait </w:t>
      </w:r>
      <w:r w:rsidR="00E46CF8">
        <w:t>meghatározó</w:t>
      </w:r>
      <w:r>
        <w:t xml:space="preserve"> szabványok pontosan meg</w:t>
      </w:r>
      <w:r w:rsidR="00E46CF8">
        <w:t>adják</w:t>
      </w:r>
      <w:r>
        <w:t>, milyen típusú minta, milyen vizsgálati komponens tekintetében mennyi ideig tárolható összetételének megváltozása nélkül Ezek az időtartamok erősen függenek a minta jellegétől, de még a szilárd minták esetén sem érik el az 5 évet. Tudomásul véve, hogy a rendelet nem veheti figyelembe az összes lehetőséget, javasoljuk a jelenleg érvényes rendelet szövegét átvenni: „</w:t>
      </w:r>
      <w:r w:rsidRPr="00FB7ADD">
        <w:t>a minősítési eljárás befejezéséig</w:t>
      </w:r>
      <w:r>
        <w:t xml:space="preserve">”. </w:t>
      </w:r>
    </w:p>
    <w:p w:rsidR="009D5E87" w:rsidRDefault="009D5E87" w:rsidP="008103FA">
      <w:pPr>
        <w:jc w:val="both"/>
      </w:pPr>
    </w:p>
    <w:p w:rsidR="00BC0B38" w:rsidRPr="00BC0B38" w:rsidRDefault="00BC0B38" w:rsidP="008103FA">
      <w:pPr>
        <w:jc w:val="both"/>
      </w:pPr>
      <w:r>
        <w:rPr>
          <w:b/>
        </w:rPr>
        <w:t>16</w:t>
      </w:r>
      <w:r w:rsidRPr="0037073D">
        <w:rPr>
          <w:b/>
        </w:rPr>
        <w:t>. § (</w:t>
      </w:r>
      <w:r>
        <w:rPr>
          <w:b/>
        </w:rPr>
        <w:t>1</w:t>
      </w:r>
      <w:r w:rsidRPr="0037073D">
        <w:rPr>
          <w:b/>
        </w:rPr>
        <w:t>):</w:t>
      </w:r>
      <w:r>
        <w:rPr>
          <w:b/>
        </w:rPr>
        <w:t xml:space="preserve"> </w:t>
      </w:r>
      <w:r w:rsidRPr="00BC0B38">
        <w:t>A bekezdés a következőket írja elő:</w:t>
      </w:r>
    </w:p>
    <w:p w:rsidR="00BC0B38" w:rsidRPr="00BC0B38" w:rsidRDefault="00BC0B38" w:rsidP="008103FA">
      <w:pPr>
        <w:jc w:val="both"/>
        <w:rPr>
          <w:b/>
          <w:i/>
        </w:rPr>
      </w:pPr>
      <w:r>
        <w:rPr>
          <w:i/>
        </w:rPr>
        <w:t>„</w:t>
      </w:r>
      <w:r w:rsidRPr="00BC0B38">
        <w:rPr>
          <w:i/>
        </w:rPr>
        <w:t xml:space="preserve">Az akkreditált mintavételt követően a </w:t>
      </w:r>
      <w:proofErr w:type="spellStart"/>
      <w:r w:rsidRPr="00BC0B38">
        <w:rPr>
          <w:i/>
        </w:rPr>
        <w:t>NeKI</w:t>
      </w:r>
      <w:proofErr w:type="spellEnd"/>
      <w:r w:rsidRPr="00BC0B38">
        <w:rPr>
          <w:i/>
        </w:rPr>
        <w:t xml:space="preserve"> gondoskodik az akkreditált </w:t>
      </w:r>
      <w:r w:rsidRPr="00BC0B38">
        <w:rPr>
          <w:rFonts w:eastAsia="Calibri"/>
          <w:i/>
        </w:rPr>
        <w:t>laboratóriumi</w:t>
      </w:r>
      <w:r w:rsidRPr="00BC0B38">
        <w:rPr>
          <w:i/>
        </w:rPr>
        <w:t xml:space="preserve"> mintavizsgálat elvégzéséről. A hulladék veszélyes vagy nem veszélyes hulladékként történő minősítésének eldöntésére alkalmas veszélyességi </w:t>
      </w:r>
      <w:proofErr w:type="gramStart"/>
      <w:r w:rsidRPr="00BC0B38">
        <w:rPr>
          <w:i/>
        </w:rPr>
        <w:t xml:space="preserve">jellemzőket </w:t>
      </w:r>
      <w:r w:rsidRPr="00BC0B38">
        <w:rPr>
          <w:b/>
          <w:i/>
        </w:rPr>
        <w:t>?</w:t>
      </w:r>
      <w:proofErr w:type="gramEnd"/>
      <w:r w:rsidRPr="00BC0B38">
        <w:rPr>
          <w:b/>
          <w:i/>
        </w:rPr>
        <w:t>??</w:t>
      </w:r>
      <w:r w:rsidRPr="00BC0B38">
        <w:rPr>
          <w:i/>
        </w:rPr>
        <w:t xml:space="preserve"> </w:t>
      </w:r>
      <w:proofErr w:type="gramStart"/>
      <w:r w:rsidRPr="00BF14C7">
        <w:rPr>
          <w:i/>
        </w:rPr>
        <w:t>é</w:t>
      </w:r>
      <w:r w:rsidRPr="00BC0B38">
        <w:rPr>
          <w:i/>
        </w:rPr>
        <w:t>s</w:t>
      </w:r>
      <w:proofErr w:type="gramEnd"/>
      <w:r w:rsidRPr="00BC0B38">
        <w:rPr>
          <w:i/>
        </w:rPr>
        <w:t xml:space="preserve"> a meghatározásukhoz szükséges vizsgálatok körét a laboratórium annak mérlegelésével állapítja meg, hogy a veszélyes hulladék milyen tevékenység során képződött. A veszélyességi jellemzők meghatározására nemzeti </w:t>
      </w:r>
      <w:proofErr w:type="gramStart"/>
      <w:r w:rsidRPr="00BC0B38">
        <w:rPr>
          <w:i/>
        </w:rPr>
        <w:t>módszereket</w:t>
      </w:r>
      <w:r w:rsidR="00271733">
        <w:rPr>
          <w:i/>
        </w:rPr>
        <w:t xml:space="preserve"> </w:t>
      </w:r>
      <w:r w:rsidR="00271733">
        <w:rPr>
          <w:b/>
          <w:i/>
        </w:rPr>
        <w:t>?</w:t>
      </w:r>
      <w:proofErr w:type="gramEnd"/>
      <w:r w:rsidR="00271733">
        <w:rPr>
          <w:b/>
          <w:i/>
        </w:rPr>
        <w:t>??</w:t>
      </w:r>
      <w:r w:rsidRPr="00BC0B38">
        <w:rPr>
          <w:i/>
        </w:rPr>
        <w:t xml:space="preserve"> </w:t>
      </w:r>
      <w:proofErr w:type="gramStart"/>
      <w:r w:rsidRPr="00BC0B38">
        <w:rPr>
          <w:i/>
        </w:rPr>
        <w:t>kell</w:t>
      </w:r>
      <w:proofErr w:type="gramEnd"/>
      <w:r w:rsidRPr="00BC0B38">
        <w:rPr>
          <w:i/>
        </w:rPr>
        <w:t xml:space="preserve"> alkalmazni. Ezek hiányában a nemzetközi szervezetek – így különösen az </w:t>
      </w:r>
      <w:proofErr w:type="gramStart"/>
      <w:r w:rsidRPr="00BC0B38">
        <w:rPr>
          <w:i/>
        </w:rPr>
        <w:t>OECD</w:t>
      </w:r>
      <w:r w:rsidR="00271733">
        <w:rPr>
          <w:i/>
        </w:rPr>
        <w:t xml:space="preserve"> </w:t>
      </w:r>
      <w:r w:rsidR="00271733" w:rsidRPr="00BF14C7">
        <w:rPr>
          <w:b/>
          <w:i/>
        </w:rPr>
        <w:t>?</w:t>
      </w:r>
      <w:proofErr w:type="gramEnd"/>
      <w:r w:rsidR="00271733" w:rsidRPr="00BF14C7">
        <w:rPr>
          <w:b/>
          <w:i/>
        </w:rPr>
        <w:t>??</w:t>
      </w:r>
      <w:r w:rsidRPr="00BC0B38">
        <w:rPr>
          <w:i/>
        </w:rPr>
        <w:t xml:space="preserve"> – által kibocsátott dokumentumokban ajánlott módszerek alkalmazhatók</w:t>
      </w:r>
      <w:r>
        <w:rPr>
          <w:i/>
        </w:rPr>
        <w:t>”</w:t>
      </w:r>
    </w:p>
    <w:p w:rsidR="00BC0B38" w:rsidRPr="00BC0B38" w:rsidRDefault="00BC0B38" w:rsidP="008103FA">
      <w:pPr>
        <w:jc w:val="both"/>
      </w:pPr>
    </w:p>
    <w:p w:rsidR="00BC0B38" w:rsidRPr="00BC0B38" w:rsidRDefault="00BC0B38" w:rsidP="008103FA">
      <w:pPr>
        <w:jc w:val="both"/>
      </w:pPr>
      <w:r w:rsidRPr="00BC0B38">
        <w:t xml:space="preserve">A „veszélyességi </w:t>
      </w:r>
      <w:r>
        <w:t xml:space="preserve">jellemzők” fogalom a </w:t>
      </w:r>
      <w:proofErr w:type="spellStart"/>
      <w:r>
        <w:t>Ht</w:t>
      </w:r>
      <w:proofErr w:type="spellEnd"/>
      <w:r>
        <w:t xml:space="preserve">. </w:t>
      </w:r>
      <w:proofErr w:type="gramStart"/>
      <w:r>
        <w:t>értelmében</w:t>
      </w:r>
      <w:proofErr w:type="gramEnd"/>
      <w:r>
        <w:t xml:space="preserve"> </w:t>
      </w:r>
      <w:r w:rsidR="00BF14C7">
        <w:t>a H veszélyességi jellemzőket jelenti, így a bekezdés szövege értelmezhetetlenné válik, hiszen nem ezeket kell meghatározni, hanem a laboratórium által elvégzendő vizsgálatok, illetve a mérendő paraméterek körét</w:t>
      </w:r>
      <w:r w:rsidR="00E46CF8">
        <w:t>.</w:t>
      </w:r>
      <w:r w:rsidR="00BF14C7">
        <w:t xml:space="preserve"> </w:t>
      </w:r>
    </w:p>
    <w:p w:rsidR="00BC0B38" w:rsidRDefault="00BC0B38" w:rsidP="008103FA">
      <w:pPr>
        <w:jc w:val="both"/>
      </w:pPr>
    </w:p>
    <w:p w:rsidR="00BF14C7" w:rsidRDefault="00BF14C7" w:rsidP="008103FA">
      <w:pPr>
        <w:jc w:val="both"/>
      </w:pPr>
      <w:r>
        <w:t xml:space="preserve">Itt köszön vissza a </w:t>
      </w:r>
      <w:r w:rsidRPr="00BF14C7">
        <w:t>15. § (1)</w:t>
      </w:r>
      <w:r>
        <w:t xml:space="preserve"> bekezdésnél említett probléma, hogy ha a közbeszerzéssel már kiválasztott laboratórium utólag – a kiválasztás után – határozza meg a szükséges vizsgálati kört, akkor hogyan leh</w:t>
      </w:r>
      <w:r w:rsidR="00420093">
        <w:t xml:space="preserve">et előre ismerni a közbeszerzési </w:t>
      </w:r>
      <w:r w:rsidR="002627CD">
        <w:t>ára</w:t>
      </w:r>
      <w:r w:rsidR="00420093">
        <w:t>t</w:t>
      </w:r>
      <w:r w:rsidR="00271733">
        <w:t>, ennek hiányában pedig hogyan lehet megtervezni magát a közbeszerzési eljárást?</w:t>
      </w:r>
    </w:p>
    <w:p w:rsidR="00271733" w:rsidRDefault="00271733" w:rsidP="008103FA">
      <w:pPr>
        <w:jc w:val="both"/>
      </w:pPr>
    </w:p>
    <w:p w:rsidR="00271733" w:rsidRDefault="00271733" w:rsidP="008103FA">
      <w:pPr>
        <w:jc w:val="both"/>
      </w:pPr>
      <w:r>
        <w:t>A vizsgálatok elvégzéséhez nem „módszereket”, hanem szabványokat kell alkalmaz</w:t>
      </w:r>
      <w:r w:rsidR="002627CD">
        <w:t>n</w:t>
      </w:r>
      <w:r>
        <w:t>i, mivel az akkreditálás alapja is ez.</w:t>
      </w:r>
    </w:p>
    <w:p w:rsidR="00271733" w:rsidRDefault="00271733" w:rsidP="008103FA">
      <w:pPr>
        <w:jc w:val="both"/>
      </w:pPr>
    </w:p>
    <w:p w:rsidR="00271733" w:rsidRPr="00BF14C7" w:rsidRDefault="00271733" w:rsidP="008103FA">
      <w:pPr>
        <w:jc w:val="both"/>
      </w:pPr>
      <w:r>
        <w:t>A bekezdés utolsó mondata ellentétben áll a 15. § (4)</w:t>
      </w:r>
      <w:proofErr w:type="spellStart"/>
      <w:r>
        <w:t>-ben</w:t>
      </w:r>
      <w:proofErr w:type="spellEnd"/>
      <w:r>
        <w:t xml:space="preserve"> foglaltakkal, de az akkreditálási elvekkel is. </w:t>
      </w:r>
    </w:p>
    <w:p w:rsidR="00BC0B38" w:rsidRDefault="00BC0B38" w:rsidP="008103FA">
      <w:pPr>
        <w:jc w:val="both"/>
      </w:pPr>
    </w:p>
    <w:p w:rsidR="00271733" w:rsidRDefault="005104B7" w:rsidP="008103FA">
      <w:pPr>
        <w:jc w:val="both"/>
      </w:pPr>
      <w:r w:rsidRPr="00337D2A">
        <w:rPr>
          <w:b/>
        </w:rPr>
        <w:t>17. § (2):</w:t>
      </w:r>
      <w:r>
        <w:t xml:space="preserve"> A </w:t>
      </w:r>
      <w:r w:rsidRPr="007D3C9E">
        <w:t>Hulladékminősítő Bizottság</w:t>
      </w:r>
      <w:r>
        <w:t xml:space="preserve">nak nincs felhatalmazása arra, hogy mellékterméket hulladéknak minősítsen, hiszen ez más vizsgálati tényeken alapul, mint a veszélyes hulladékok minősítése. Annak megítélése, hogy az állati melléktermék hulladék-e, a </w:t>
      </w:r>
      <w:proofErr w:type="spellStart"/>
      <w:r>
        <w:t>Ht</w:t>
      </w:r>
      <w:proofErr w:type="spellEnd"/>
      <w:r w:rsidR="00337D2A">
        <w:t>.</w:t>
      </w:r>
      <w:r>
        <w:t xml:space="preserve"> értelmében </w:t>
      </w:r>
      <w:r w:rsidR="00337D2A">
        <w:t>a kijelölt hatóságok feladata. Amennyiben a hatóságok döntése arra irányul, hogy ez hulladék, akkor a hulladékok besorolásának szabály</w:t>
      </w:r>
      <w:r w:rsidR="002627CD">
        <w:t>a</w:t>
      </w:r>
      <w:r w:rsidR="00337D2A">
        <w:t xml:space="preserve">it kell alkalmazni. </w:t>
      </w:r>
      <w:r w:rsidR="00337D2A" w:rsidRPr="00337D2A">
        <w:rPr>
          <w:b/>
          <w:u w:val="single"/>
        </w:rPr>
        <w:t>Ezért javasoljuk a bekezdés törlését.</w:t>
      </w:r>
    </w:p>
    <w:p w:rsidR="00271733" w:rsidRDefault="00271733" w:rsidP="008103FA">
      <w:pPr>
        <w:jc w:val="both"/>
      </w:pPr>
    </w:p>
    <w:p w:rsidR="00337D2A" w:rsidRDefault="00337D2A" w:rsidP="008103FA">
      <w:pPr>
        <w:jc w:val="both"/>
      </w:pPr>
      <w:r w:rsidRPr="00337D2A">
        <w:rPr>
          <w:b/>
        </w:rPr>
        <w:t>17. § (</w:t>
      </w:r>
      <w:r>
        <w:rPr>
          <w:b/>
        </w:rPr>
        <w:t>3</w:t>
      </w:r>
      <w:r w:rsidRPr="00337D2A">
        <w:rPr>
          <w:b/>
        </w:rPr>
        <w:t>):</w:t>
      </w:r>
      <w:r>
        <w:t xml:space="preserve"> A tervezet így fogalmaz: </w:t>
      </w:r>
    </w:p>
    <w:p w:rsidR="00337D2A" w:rsidRPr="00337D2A" w:rsidRDefault="00337D2A" w:rsidP="008103FA">
      <w:pPr>
        <w:jc w:val="both"/>
        <w:rPr>
          <w:i/>
        </w:rPr>
      </w:pPr>
      <w:r>
        <w:rPr>
          <w:i/>
        </w:rPr>
        <w:t>„</w:t>
      </w:r>
      <w:r w:rsidRPr="00337D2A">
        <w:rPr>
          <w:i/>
        </w:rPr>
        <w:t xml:space="preserve">A Hulladékminősítő Bizottság a véleményében ismerteti a minősített hulladék környezetbiztonságos kezeléséhez alkalmazandó kezelési technológiát, továbbá legalább 5 európai uniós tagállamban alkalmazott kezelési </w:t>
      </w:r>
      <w:proofErr w:type="gramStart"/>
      <w:r w:rsidRPr="00337D2A">
        <w:rPr>
          <w:i/>
        </w:rPr>
        <w:t xml:space="preserve">technológiát </w:t>
      </w:r>
      <w:r w:rsidRPr="00337D2A">
        <w:rPr>
          <w:b/>
          <w:i/>
        </w:rPr>
        <w:t>?</w:t>
      </w:r>
      <w:proofErr w:type="gramEnd"/>
      <w:r w:rsidRPr="00337D2A">
        <w:rPr>
          <w:b/>
          <w:i/>
        </w:rPr>
        <w:t>??</w:t>
      </w:r>
      <w:r w:rsidRPr="00337D2A">
        <w:rPr>
          <w:i/>
        </w:rPr>
        <w:t xml:space="preserve"> </w:t>
      </w:r>
      <w:proofErr w:type="gramStart"/>
      <w:r w:rsidRPr="00337D2A">
        <w:rPr>
          <w:i/>
        </w:rPr>
        <w:t>és</w:t>
      </w:r>
      <w:proofErr w:type="gramEnd"/>
      <w:r w:rsidRPr="00337D2A">
        <w:rPr>
          <w:i/>
        </w:rPr>
        <w:t xml:space="preserve"> annak általános nemzetközi és európai uniós megítélését. </w:t>
      </w:r>
      <w:r w:rsidRPr="00337D2A">
        <w:rPr>
          <w:rFonts w:eastAsia="MS Mincho"/>
          <w:i/>
        </w:rPr>
        <w:t>A Hulladékminősítő Bizottság az eljárás során szakértőként jár el.</w:t>
      </w:r>
      <w:r>
        <w:rPr>
          <w:rFonts w:eastAsia="MS Mincho"/>
          <w:i/>
        </w:rPr>
        <w:t>”</w:t>
      </w:r>
    </w:p>
    <w:p w:rsidR="00337D2A" w:rsidRPr="00337D2A" w:rsidRDefault="00337D2A" w:rsidP="008103FA">
      <w:pPr>
        <w:jc w:val="both"/>
        <w:rPr>
          <w:i/>
        </w:rPr>
      </w:pPr>
    </w:p>
    <w:p w:rsidR="00337D2A" w:rsidRDefault="00337D2A" w:rsidP="008103FA">
      <w:pPr>
        <w:jc w:val="both"/>
      </w:pPr>
      <w:r>
        <w:t>Az 5, uniós tagállamban alkalmazott technológia ismertetése nem reális elvárás a Bizottságtól, és nem is érthető ennek az előírásnak a szükségessége különösen annak fényében, hogy az OKTVF döntésének nem része a további kezelési technológia előírása (17. § ( 6)).</w:t>
      </w:r>
    </w:p>
    <w:p w:rsidR="00337D2A" w:rsidRDefault="00337D2A" w:rsidP="008103FA">
      <w:pPr>
        <w:jc w:val="both"/>
      </w:pPr>
    </w:p>
    <w:p w:rsidR="002A3528" w:rsidRPr="002A3528" w:rsidRDefault="00337D2A" w:rsidP="002A3528">
      <w:pPr>
        <w:pStyle w:val="NormlWeb"/>
        <w:spacing w:before="160" w:after="80"/>
        <w:ind w:firstLine="0"/>
      </w:pPr>
      <w:r w:rsidRPr="00337D2A">
        <w:rPr>
          <w:b/>
        </w:rPr>
        <w:t>17. § (</w:t>
      </w:r>
      <w:r>
        <w:rPr>
          <w:b/>
        </w:rPr>
        <w:t>5</w:t>
      </w:r>
      <w:r w:rsidRPr="00337D2A">
        <w:rPr>
          <w:b/>
        </w:rPr>
        <w:t>):</w:t>
      </w:r>
      <w:r>
        <w:t xml:space="preserve"> </w:t>
      </w:r>
      <w:r w:rsidR="002A3528">
        <w:t>Kifejezetten szakmaiatlan, és a vonatkozó jogszabályokat figyelembe nem vevő a jelen bekezdésben az az előírás, miszerint az OKTVF dönt „</w:t>
      </w:r>
      <w:r w:rsidR="002A3528" w:rsidRPr="007D3C9E">
        <w:rPr>
          <w:rFonts w:eastAsia="MS Mincho"/>
        </w:rPr>
        <w:t xml:space="preserve">hulladékban lévő veszélyes anyagok </w:t>
      </w:r>
      <w:r w:rsidR="002A3528" w:rsidRPr="002A3528">
        <w:rPr>
          <w:rFonts w:eastAsia="MS Mincho"/>
          <w:b/>
          <w:i/>
        </w:rPr>
        <w:t>veszélyességi jellemzőihez</w:t>
      </w:r>
      <w:r w:rsidR="002A3528" w:rsidRPr="007D3C9E">
        <w:rPr>
          <w:rFonts w:eastAsia="MS Mincho"/>
        </w:rPr>
        <w:t xml:space="preserve"> tartozó határértékekről</w:t>
      </w:r>
      <w:r w:rsidR="002A3528">
        <w:rPr>
          <w:rFonts w:eastAsia="MS Mincho"/>
        </w:rPr>
        <w:t xml:space="preserve">”. Az előterjesztőnek (mivel saját jogszabálya) tudnia kellene, hogy a hulladékok veszélyességi jellemzőinek </w:t>
      </w:r>
      <w:r w:rsidR="002A3528" w:rsidRPr="002A3528">
        <w:t xml:space="preserve">határértékét </w:t>
      </w:r>
      <w:r w:rsidR="002A3528">
        <w:t xml:space="preserve">(a Kémiai Biztonságról szóló törvénnyel összhangban) </w:t>
      </w:r>
      <w:r w:rsidR="002A3528" w:rsidRPr="002A3528">
        <w:t xml:space="preserve">a hulladékjegyzékről </w:t>
      </w:r>
      <w:r w:rsidR="002A3528">
        <w:t xml:space="preserve">szóló </w:t>
      </w:r>
      <w:r w:rsidR="002A3528" w:rsidRPr="002A3528">
        <w:t>72/2013. (VIII. 27.) VM rendelet</w:t>
      </w:r>
      <w:r w:rsidR="002A3528">
        <w:t xml:space="preserve"> 2. § (1) határozza meg, a mért veszélyes komponensekre azonban nincs külön határérték. Így tehát nem érthető, milyen határértékekről dönt az OKTVF.</w:t>
      </w:r>
    </w:p>
    <w:p w:rsidR="00337D2A" w:rsidRDefault="00337D2A" w:rsidP="008103FA">
      <w:pPr>
        <w:jc w:val="both"/>
      </w:pPr>
    </w:p>
    <w:p w:rsidR="00337D2A" w:rsidRDefault="002A3528" w:rsidP="008103FA">
      <w:pPr>
        <w:jc w:val="both"/>
      </w:pPr>
      <w:r w:rsidRPr="00337D2A">
        <w:rPr>
          <w:b/>
        </w:rPr>
        <w:t>1</w:t>
      </w:r>
      <w:r>
        <w:rPr>
          <w:b/>
        </w:rPr>
        <w:t>9</w:t>
      </w:r>
      <w:r w:rsidRPr="00337D2A">
        <w:rPr>
          <w:b/>
        </w:rPr>
        <w:t>. § (</w:t>
      </w:r>
      <w:r>
        <w:rPr>
          <w:b/>
        </w:rPr>
        <w:t>2</w:t>
      </w:r>
      <w:r w:rsidRPr="00337D2A">
        <w:rPr>
          <w:b/>
        </w:rPr>
        <w:t>):</w:t>
      </w:r>
      <w:r>
        <w:t xml:space="preserve"> </w:t>
      </w:r>
      <w:r w:rsidR="00161771">
        <w:t xml:space="preserve">A megfogalmazás nem pontos, mivel a referáló nemcsak a veszélyessé minősítésre, hanem a nem veszélyessé minősítésre is javaslatot tehet. Mint ahogy azt a </w:t>
      </w:r>
      <w:r w:rsidR="00161771" w:rsidRPr="00161771">
        <w:t>14. § (1) b</w:t>
      </w:r>
      <w:r w:rsidR="00161771">
        <w:t xml:space="preserve"> pontnál is megindokoltuk, sokkal életszerűbb, hogy az eljárást akkor kérelmezik, ha veszélyes hulladék státuszból nem veszélyessé történő minősítésről van szó, mint fordítva. A Hulladékminősítő Bizottság fennállása alatt még nem fordult elő fordított eset. </w:t>
      </w:r>
    </w:p>
    <w:p w:rsidR="002A3528" w:rsidRDefault="002A3528" w:rsidP="008103FA">
      <w:pPr>
        <w:jc w:val="both"/>
      </w:pPr>
    </w:p>
    <w:p w:rsidR="00275182" w:rsidRPr="007D3C9E" w:rsidRDefault="00275182" w:rsidP="00275182">
      <w:pPr>
        <w:autoSpaceDE w:val="0"/>
        <w:autoSpaceDN w:val="0"/>
        <w:adjustRightInd w:val="0"/>
        <w:jc w:val="both"/>
      </w:pPr>
      <w:r w:rsidRPr="00275182">
        <w:rPr>
          <w:b/>
        </w:rPr>
        <w:t>19. § (6) b:</w:t>
      </w:r>
      <w:r>
        <w:t xml:space="preserve"> </w:t>
      </w:r>
      <w:r w:rsidRPr="007D3C9E">
        <w:t>A Hu</w:t>
      </w:r>
      <w:r>
        <w:t xml:space="preserve">lladékminősítő Bizottság tagjai </w:t>
      </w:r>
      <w:r w:rsidRPr="00275182">
        <w:rPr>
          <w:i/>
        </w:rPr>
        <w:t>„</w:t>
      </w:r>
      <w:proofErr w:type="gramStart"/>
      <w:r w:rsidRPr="00275182">
        <w:rPr>
          <w:i/>
        </w:rPr>
        <w:t>….</w:t>
      </w:r>
      <w:proofErr w:type="gramEnd"/>
      <w:r w:rsidRPr="00275182">
        <w:rPr>
          <w:i/>
        </w:rPr>
        <w:t xml:space="preserve"> javaslatot tehetnek a vizsgálati módszerekre, </w:t>
      </w:r>
      <w:r w:rsidRPr="00275182">
        <w:rPr>
          <w:b/>
          <w:i/>
        </w:rPr>
        <w:t>???</w:t>
      </w:r>
      <w:r>
        <w:t>”</w:t>
      </w:r>
    </w:p>
    <w:p w:rsidR="002A3528" w:rsidRDefault="00275182" w:rsidP="008103FA">
      <w:pPr>
        <w:jc w:val="both"/>
      </w:pPr>
      <w:r>
        <w:t xml:space="preserve">Teljesen érthetetlen, hogy hogyan tehetnek javaslatot a Bizottság tagjai a már előkészített és lefolytatott vizsgálatokhoz utólag a vizsgálati módszerekre. Ez teljességgel értelmezhetetlen. Az másik helyzet, ha az előterjesztő arra gondolt, hogy amennyiben a Bizottság ülésén nyilvánvalóvá válik, hogy nem lehet dönteni a hulladék besorolásáról azért, mert nem áll rendelkezésre a kellő információ, illetve nem végeztek el minden </w:t>
      </w:r>
      <w:proofErr w:type="spellStart"/>
      <w:r w:rsidR="002627CD">
        <w:t>vizsgálatot</w:t>
      </w:r>
      <w:r>
        <w:t>t</w:t>
      </w:r>
      <w:proofErr w:type="spellEnd"/>
      <w:r>
        <w:t xml:space="preserve"> a döntés megalapozásához; </w:t>
      </w:r>
      <w:r w:rsidR="0015324C">
        <w:t>ebben az esetben a Bizottság kérhet további méréseket (de akkor sem módszereket), és azt is meghatározhatja, hogy melyek legyenek azok. Amennyiben erre gondolt az előterjesztő, akkor ezt kell</w:t>
      </w:r>
      <w:r w:rsidR="002627CD">
        <w:t>ene</w:t>
      </w:r>
      <w:r w:rsidR="0015324C">
        <w:t xml:space="preserve"> leírni.</w:t>
      </w:r>
    </w:p>
    <w:p w:rsidR="0015324C" w:rsidRDefault="0015324C" w:rsidP="008103FA">
      <w:pPr>
        <w:jc w:val="both"/>
      </w:pPr>
    </w:p>
    <w:p w:rsidR="0015324C" w:rsidRPr="00275182" w:rsidRDefault="008551A1" w:rsidP="008103FA">
      <w:pPr>
        <w:jc w:val="both"/>
      </w:pPr>
      <w:r>
        <w:rPr>
          <w:b/>
        </w:rPr>
        <w:t>20</w:t>
      </w:r>
      <w:r w:rsidRPr="00337D2A">
        <w:rPr>
          <w:b/>
        </w:rPr>
        <w:t>. § (</w:t>
      </w:r>
      <w:r>
        <w:rPr>
          <w:b/>
        </w:rPr>
        <w:t>5</w:t>
      </w:r>
      <w:r w:rsidRPr="00337D2A">
        <w:rPr>
          <w:b/>
        </w:rPr>
        <w:t>):</w:t>
      </w:r>
      <w:r>
        <w:t xml:space="preserve"> Az illetékes felügyelőség szerepvállalásáról a minősítési folyamatban ez idáig egy szó sem esett, ebben a bekezdésben pedig az merül föl, hogy helyszíni szemlét tarthat, amelyen </w:t>
      </w:r>
      <w:r w:rsidRPr="007D3C9E">
        <w:t>a Hulladékminősítő Bizottság tagjai részt vehetnek</w:t>
      </w:r>
      <w:r>
        <w:t xml:space="preserve">. Véleményünk szerint, ha az </w:t>
      </w:r>
      <w:r>
        <w:lastRenderedPageBreak/>
        <w:t xml:space="preserve">egész eljárás a </w:t>
      </w:r>
      <w:proofErr w:type="spellStart"/>
      <w:r>
        <w:t>NeKI</w:t>
      </w:r>
      <w:proofErr w:type="spellEnd"/>
      <w:r>
        <w:t xml:space="preserve"> kezében van. a helyszíni szemle megszervezésének jogát is ide kellene telepíteni. </w:t>
      </w:r>
    </w:p>
    <w:p w:rsidR="002A3528" w:rsidRDefault="002A3528" w:rsidP="008103FA">
      <w:pPr>
        <w:jc w:val="both"/>
      </w:pPr>
    </w:p>
    <w:p w:rsidR="002A3528" w:rsidRPr="008551A1" w:rsidRDefault="008551A1" w:rsidP="008103FA">
      <w:pPr>
        <w:jc w:val="both"/>
        <w:rPr>
          <w:b/>
        </w:rPr>
      </w:pPr>
      <w:r w:rsidRPr="008551A1">
        <w:rPr>
          <w:b/>
        </w:rPr>
        <w:t xml:space="preserve">További megjegyzések: </w:t>
      </w:r>
    </w:p>
    <w:p w:rsidR="00A11583" w:rsidRDefault="008F6187" w:rsidP="008103FA">
      <w:pPr>
        <w:jc w:val="both"/>
      </w:pPr>
      <w:r>
        <w:t xml:space="preserve">A Minősítő Bizottság által hozott </w:t>
      </w:r>
      <w:r w:rsidR="002627CD">
        <w:t>javaslattal</w:t>
      </w:r>
      <w:r>
        <w:t xml:space="preserve"> kapcsolatban lényeges kiemelni, hogy a besorolás kizárólag az adott technológiából</w:t>
      </w:r>
      <w:r w:rsidRPr="008F6187">
        <w:t xml:space="preserve"> </w:t>
      </w:r>
      <w:r>
        <w:t xml:space="preserve">származó, az adott technológiai paraméterek mellett keletkezett, adott hulladékra vonatkozik, és nem általános érvényű valamennyi, azonos megnevezéssel rendelkező hulladékra. </w:t>
      </w:r>
      <w:r w:rsidR="009D5E87">
        <w:t>Ezt javasoljuk beépíteni a rendelet tervezetbe.</w:t>
      </w:r>
    </w:p>
    <w:p w:rsidR="008551A1" w:rsidRDefault="008551A1" w:rsidP="008103FA">
      <w:pPr>
        <w:jc w:val="both"/>
      </w:pPr>
    </w:p>
    <w:p w:rsidR="008551A1" w:rsidRDefault="008551A1" w:rsidP="008103FA">
      <w:pPr>
        <w:jc w:val="both"/>
      </w:pPr>
      <w:r>
        <w:t xml:space="preserve">A Hulladék Keretirányelv </w:t>
      </w:r>
      <w:r w:rsidR="006E401D">
        <w:t xml:space="preserve">7. cikke </w:t>
      </w:r>
      <w:r>
        <w:t xml:space="preserve">rögzíti azt is, hogy a tagországok </w:t>
      </w:r>
      <w:r w:rsidR="006E401D">
        <w:t xml:space="preserve">eltérhetnek a hulladékjegyzék besorolásától a veszélyesség tekintetében, de az ilyen eltéréseket jelenteniük kell a Bizottság felé. A minősítési eljárások tipikusan ilyen eseteket eredményezhetnek. Hiányoljuk a tervezetből annak megfogalmazását, hogy ebben az esetben mely szervezet hogyan jár el. Szükséges lenne pl. az </w:t>
      </w:r>
      <w:proofErr w:type="spellStart"/>
      <w:r w:rsidR="006E401D">
        <w:t>OKTVF-nek</w:t>
      </w:r>
      <w:proofErr w:type="spellEnd"/>
      <w:r w:rsidR="006E401D">
        <w:t xml:space="preserve"> olyan feladatot adni, hogy az ilyen eseteket évenként összesíti, és jelenti a Miniszternek.</w:t>
      </w:r>
    </w:p>
    <w:p w:rsidR="00220757" w:rsidRDefault="00220757" w:rsidP="008103FA">
      <w:pPr>
        <w:jc w:val="both"/>
      </w:pPr>
    </w:p>
    <w:p w:rsidR="00E84956" w:rsidRPr="00E84956" w:rsidRDefault="00E84956" w:rsidP="008103FA">
      <w:pPr>
        <w:jc w:val="both"/>
        <w:rPr>
          <w:b/>
        </w:rPr>
      </w:pPr>
      <w:r>
        <w:rPr>
          <w:b/>
        </w:rPr>
        <w:t>1. Melléklet:</w:t>
      </w:r>
    </w:p>
    <w:p w:rsidR="00220757" w:rsidRDefault="00220757" w:rsidP="006E401D">
      <w:pPr>
        <w:jc w:val="both"/>
      </w:pPr>
    </w:p>
    <w:p w:rsidR="008551A1" w:rsidRDefault="008551A1" w:rsidP="006E401D">
      <w:pPr>
        <w:jc w:val="both"/>
      </w:pPr>
      <w:r>
        <w:t>A veszélyes hulladék szállításához szükséges szállítási lapo</w:t>
      </w:r>
      <w:r w:rsidR="006E401D">
        <w:t>ko</w:t>
      </w:r>
      <w:r>
        <w:t xml:space="preserve">n továbbra sincs megfelelő rovat </w:t>
      </w:r>
      <w:r w:rsidRPr="008551A1">
        <w:t>a</w:t>
      </w:r>
      <w:r>
        <w:t xml:space="preserve"> Veszélyes Áruk Nemzetközi Közúti Szállításáról szóló Európai Megállapodás „</w:t>
      </w:r>
      <w:proofErr w:type="gramStart"/>
      <w:r>
        <w:t>A</w:t>
      </w:r>
      <w:proofErr w:type="gramEnd"/>
      <w:r>
        <w:t>” és „B” Melléklete kihirdetéséről</w:t>
      </w:r>
      <w:r w:rsidR="006E401D">
        <w:t>,</w:t>
      </w:r>
      <w:r>
        <w:t xml:space="preserve"> </w:t>
      </w:r>
      <w:r w:rsidR="006E401D">
        <w:t xml:space="preserve">valamint a belföldi alkalmazásának egyes kérdéseiről </w:t>
      </w:r>
      <w:r>
        <w:t xml:space="preserve">szóló </w:t>
      </w:r>
      <w:r w:rsidRPr="008551A1">
        <w:rPr>
          <w:bCs/>
        </w:rPr>
        <w:t>2013. évi CX. törvény</w:t>
      </w:r>
      <w:r>
        <w:t xml:space="preserve"> </w:t>
      </w:r>
      <w:r w:rsidR="006E401D">
        <w:t>előírásának teljesítéséhez.</w:t>
      </w:r>
    </w:p>
    <w:p w:rsidR="006E401D" w:rsidRDefault="006E401D" w:rsidP="006E401D">
      <w:pPr>
        <w:autoSpaceDE w:val="0"/>
        <w:autoSpaceDN w:val="0"/>
        <w:jc w:val="both"/>
      </w:pPr>
    </w:p>
    <w:p w:rsidR="008551A1" w:rsidRDefault="008551A1" w:rsidP="006E401D">
      <w:pPr>
        <w:autoSpaceDE w:val="0"/>
        <w:autoSpaceDN w:val="0"/>
        <w:jc w:val="both"/>
      </w:pPr>
      <w:r>
        <w:t>Mivel a veszélyes</w:t>
      </w:r>
      <w:r w:rsidR="006E401D">
        <w:t xml:space="preserve"> hulladékok (kevés kivétellel) </w:t>
      </w:r>
      <w:r>
        <w:t>kielégítik a veszélyes áru minőségi paramétereit, ezért a veszélyes hulladék szállítás során teljesíteni kell a veszélyes áru szállí</w:t>
      </w:r>
      <w:r w:rsidR="006E401D">
        <w:t>tására vonatkozó előírásokat is. Javasoljuk a fenti törvény előírásaival való összhang megteremtését.</w:t>
      </w:r>
    </w:p>
    <w:p w:rsidR="002158B4" w:rsidRDefault="002158B4" w:rsidP="006E401D">
      <w:pPr>
        <w:jc w:val="both"/>
      </w:pPr>
    </w:p>
    <w:p w:rsidR="0083455A" w:rsidRDefault="0083455A" w:rsidP="00796B93">
      <w:pPr>
        <w:jc w:val="both"/>
      </w:pPr>
    </w:p>
    <w:p w:rsidR="000423D6" w:rsidRPr="00B56959" w:rsidRDefault="00183F0E" w:rsidP="00796B93">
      <w:pPr>
        <w:jc w:val="both"/>
      </w:pPr>
      <w:r>
        <w:t>2014</w:t>
      </w:r>
      <w:r w:rsidR="000473C3">
        <w:t xml:space="preserve">. </w:t>
      </w:r>
      <w:r w:rsidR="0003565B">
        <w:t>január</w:t>
      </w:r>
      <w:r w:rsidR="000473C3">
        <w:t xml:space="preserve"> </w:t>
      </w:r>
      <w:r>
        <w:t>1</w:t>
      </w:r>
      <w:r w:rsidR="0003565B">
        <w:t>0</w:t>
      </w:r>
      <w:r w:rsidR="000473C3">
        <w:t>.</w:t>
      </w:r>
    </w:p>
    <w:sectPr w:rsidR="000423D6" w:rsidRPr="00B56959"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0A" w:rsidRDefault="00163B0A">
      <w:r>
        <w:separator/>
      </w:r>
    </w:p>
  </w:endnote>
  <w:endnote w:type="continuationSeparator" w:id="0">
    <w:p w:rsidR="00163B0A" w:rsidRDefault="0016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F77403">
    <w:pPr>
      <w:pStyle w:val="llb"/>
      <w:pBdr>
        <w:top w:val="dashDotStroked" w:sz="24" w:space="2" w:color="auto"/>
      </w:pBdr>
      <w:jc w:val="center"/>
      <w:rPr>
        <w:rFonts w:ascii="Clarendon Condensed" w:hAnsi="Clarendon Condensed"/>
        <w:spacing w:val="40"/>
        <w:sz w:val="20"/>
      </w:rPr>
    </w:pP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 Budapest, Kossuth tér 11.</w:t>
    </w: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Telefon: 1- 79 51063, 1- 79 53699. Fax: 1- 79 50429.</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Pr="00ED4122">
        <w:rPr>
          <w:rStyle w:val="Hiperhivatkozs"/>
          <w:rFonts w:ascii="Clarendon Condensed" w:hAnsi="Clarendon Condensed"/>
          <w:spacing w:val="40"/>
          <w:sz w:val="20"/>
        </w:rPr>
        <w:t>okttitk@vm.gov.hu</w:t>
      </w:r>
    </w:hyperlink>
  </w:p>
  <w:p w:rsidR="00F62078" w:rsidRDefault="00F62078" w:rsidP="00F77403">
    <w:pPr>
      <w:pStyle w:val="llb"/>
      <w:jc w:val="center"/>
      <w:rPr>
        <w:rFonts w:ascii="Clarendon Condensed" w:hAnsi="Clarendon Condensed"/>
        <w:color w:val="FF0000"/>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0A" w:rsidRDefault="00163B0A">
      <w:r>
        <w:separator/>
      </w:r>
    </w:p>
  </w:footnote>
  <w:footnote w:type="continuationSeparator" w:id="0">
    <w:p w:rsidR="00163B0A" w:rsidRDefault="0016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o:ole="">
          <v:imagedata r:id="rId1" o:title=""/>
        </v:shape>
        <o:OLEObject Type="Embed" ProgID="MSPhotoEd.3" ShapeID="_x0000_i1025" DrawAspect="Content" ObjectID="_1450617932" r:id="rId2"/>
      </w:object>
    </w:r>
  </w:p>
  <w:p w:rsidR="00F62078" w:rsidRDefault="00F62078">
    <w:pPr>
      <w:pStyle w:val="lfej"/>
      <w:jc w:val="center"/>
      <w:rPr>
        <w:rFonts w:ascii="Clarendon Condensed" w:hAnsi="Clarendon Condensed"/>
      </w:rPr>
    </w:pPr>
  </w:p>
  <w:p w:rsidR="00F62078" w:rsidRDefault="00F62078">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571C1E"/>
    <w:multiLevelType w:val="hybridMultilevel"/>
    <w:tmpl w:val="8A78C41A"/>
    <w:lvl w:ilvl="0" w:tplc="EA38E9E4">
      <w:start w:val="1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B251AA9"/>
    <w:multiLevelType w:val="hybridMultilevel"/>
    <w:tmpl w:val="D6504FCE"/>
    <w:lvl w:ilvl="0" w:tplc="5588D78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0">
    <w:nsid w:val="6E5C7D92"/>
    <w:multiLevelType w:val="hybridMultilevel"/>
    <w:tmpl w:val="5B6A6CE8"/>
    <w:lvl w:ilvl="0" w:tplc="C75E080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
  </w:num>
  <w:num w:numId="6">
    <w:abstractNumId w:val="0"/>
  </w:num>
  <w:num w:numId="7">
    <w:abstractNumId w:val="11"/>
  </w:num>
  <w:num w:numId="8">
    <w:abstractNumId w:val="4"/>
  </w:num>
  <w:num w:numId="9">
    <w:abstractNumId w:val="10"/>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11212"/>
    <w:rsid w:val="00016318"/>
    <w:rsid w:val="0003417F"/>
    <w:rsid w:val="0003565B"/>
    <w:rsid w:val="000423D6"/>
    <w:rsid w:val="000473C3"/>
    <w:rsid w:val="00050B13"/>
    <w:rsid w:val="00075591"/>
    <w:rsid w:val="000800B8"/>
    <w:rsid w:val="00080183"/>
    <w:rsid w:val="00087B09"/>
    <w:rsid w:val="00093EA7"/>
    <w:rsid w:val="00094C98"/>
    <w:rsid w:val="000A0179"/>
    <w:rsid w:val="000A2908"/>
    <w:rsid w:val="000A78AC"/>
    <w:rsid w:val="000B13D8"/>
    <w:rsid w:val="000B6074"/>
    <w:rsid w:val="000B6387"/>
    <w:rsid w:val="000E2B9A"/>
    <w:rsid w:val="000E2C5B"/>
    <w:rsid w:val="000F2CC9"/>
    <w:rsid w:val="00101B16"/>
    <w:rsid w:val="0012057F"/>
    <w:rsid w:val="00130B64"/>
    <w:rsid w:val="001310C1"/>
    <w:rsid w:val="00141AA2"/>
    <w:rsid w:val="00147E1C"/>
    <w:rsid w:val="0015324C"/>
    <w:rsid w:val="00154D23"/>
    <w:rsid w:val="00161771"/>
    <w:rsid w:val="00163B0A"/>
    <w:rsid w:val="00172A0C"/>
    <w:rsid w:val="00176DE3"/>
    <w:rsid w:val="00183F0E"/>
    <w:rsid w:val="001A5508"/>
    <w:rsid w:val="001B1053"/>
    <w:rsid w:val="001B24A1"/>
    <w:rsid w:val="001C24E0"/>
    <w:rsid w:val="001C35D6"/>
    <w:rsid w:val="001C3E85"/>
    <w:rsid w:val="001D2AC7"/>
    <w:rsid w:val="001E05B6"/>
    <w:rsid w:val="001E442F"/>
    <w:rsid w:val="001F0D40"/>
    <w:rsid w:val="001F0F1C"/>
    <w:rsid w:val="001F2879"/>
    <w:rsid w:val="00204656"/>
    <w:rsid w:val="002120FE"/>
    <w:rsid w:val="00212FBC"/>
    <w:rsid w:val="002158B4"/>
    <w:rsid w:val="002161CB"/>
    <w:rsid w:val="00220757"/>
    <w:rsid w:val="00221634"/>
    <w:rsid w:val="00230A6F"/>
    <w:rsid w:val="002627CD"/>
    <w:rsid w:val="00262A06"/>
    <w:rsid w:val="002646F2"/>
    <w:rsid w:val="00271733"/>
    <w:rsid w:val="00275182"/>
    <w:rsid w:val="00275BF2"/>
    <w:rsid w:val="002975FC"/>
    <w:rsid w:val="002A23C1"/>
    <w:rsid w:val="002A2934"/>
    <w:rsid w:val="002A3528"/>
    <w:rsid w:val="002A531F"/>
    <w:rsid w:val="002E1A1D"/>
    <w:rsid w:val="002E2ADE"/>
    <w:rsid w:val="002F5B0E"/>
    <w:rsid w:val="00313049"/>
    <w:rsid w:val="003357FA"/>
    <w:rsid w:val="00337D2A"/>
    <w:rsid w:val="003425B7"/>
    <w:rsid w:val="00360686"/>
    <w:rsid w:val="0036118E"/>
    <w:rsid w:val="0037073D"/>
    <w:rsid w:val="0038408E"/>
    <w:rsid w:val="00386B86"/>
    <w:rsid w:val="003B46F7"/>
    <w:rsid w:val="003C2886"/>
    <w:rsid w:val="003E53F0"/>
    <w:rsid w:val="003E6E53"/>
    <w:rsid w:val="003E715C"/>
    <w:rsid w:val="00401E82"/>
    <w:rsid w:val="00420093"/>
    <w:rsid w:val="00431537"/>
    <w:rsid w:val="00431BB3"/>
    <w:rsid w:val="00435207"/>
    <w:rsid w:val="00464E1B"/>
    <w:rsid w:val="00467BFB"/>
    <w:rsid w:val="00484898"/>
    <w:rsid w:val="00495240"/>
    <w:rsid w:val="00496913"/>
    <w:rsid w:val="004C4BDF"/>
    <w:rsid w:val="004E3F09"/>
    <w:rsid w:val="004E5DD2"/>
    <w:rsid w:val="004F2071"/>
    <w:rsid w:val="004F2EA4"/>
    <w:rsid w:val="005104B7"/>
    <w:rsid w:val="00520010"/>
    <w:rsid w:val="00525A56"/>
    <w:rsid w:val="00535E81"/>
    <w:rsid w:val="005375F2"/>
    <w:rsid w:val="00562FA2"/>
    <w:rsid w:val="00563552"/>
    <w:rsid w:val="00563632"/>
    <w:rsid w:val="00575C6A"/>
    <w:rsid w:val="00585442"/>
    <w:rsid w:val="00585762"/>
    <w:rsid w:val="00594008"/>
    <w:rsid w:val="00594B89"/>
    <w:rsid w:val="00597A62"/>
    <w:rsid w:val="005A4DD2"/>
    <w:rsid w:val="005E3DFC"/>
    <w:rsid w:val="006129F6"/>
    <w:rsid w:val="006219C0"/>
    <w:rsid w:val="00632A71"/>
    <w:rsid w:val="006507E6"/>
    <w:rsid w:val="006728E0"/>
    <w:rsid w:val="00685A31"/>
    <w:rsid w:val="006D3F92"/>
    <w:rsid w:val="006E1DDB"/>
    <w:rsid w:val="006E401D"/>
    <w:rsid w:val="00702D46"/>
    <w:rsid w:val="00711969"/>
    <w:rsid w:val="00714AB1"/>
    <w:rsid w:val="00721CE2"/>
    <w:rsid w:val="00721FC9"/>
    <w:rsid w:val="0072465B"/>
    <w:rsid w:val="00725F91"/>
    <w:rsid w:val="0072728F"/>
    <w:rsid w:val="007368DB"/>
    <w:rsid w:val="00741710"/>
    <w:rsid w:val="007428D9"/>
    <w:rsid w:val="00767356"/>
    <w:rsid w:val="00791EFC"/>
    <w:rsid w:val="00796B93"/>
    <w:rsid w:val="007B0C42"/>
    <w:rsid w:val="007E540A"/>
    <w:rsid w:val="007E6C04"/>
    <w:rsid w:val="007F0917"/>
    <w:rsid w:val="008103FA"/>
    <w:rsid w:val="00823BBC"/>
    <w:rsid w:val="0082742C"/>
    <w:rsid w:val="00834273"/>
    <w:rsid w:val="0083455A"/>
    <w:rsid w:val="00841FEB"/>
    <w:rsid w:val="00846191"/>
    <w:rsid w:val="008551A1"/>
    <w:rsid w:val="008551B2"/>
    <w:rsid w:val="0087496A"/>
    <w:rsid w:val="008858EC"/>
    <w:rsid w:val="008B07DA"/>
    <w:rsid w:val="008B4857"/>
    <w:rsid w:val="008C47B5"/>
    <w:rsid w:val="008C5064"/>
    <w:rsid w:val="008E2B70"/>
    <w:rsid w:val="008F1D7D"/>
    <w:rsid w:val="008F2D4A"/>
    <w:rsid w:val="008F3E4E"/>
    <w:rsid w:val="008F6187"/>
    <w:rsid w:val="008F6763"/>
    <w:rsid w:val="009429E8"/>
    <w:rsid w:val="00956494"/>
    <w:rsid w:val="00960BC4"/>
    <w:rsid w:val="009706A6"/>
    <w:rsid w:val="009769A6"/>
    <w:rsid w:val="009C7BA0"/>
    <w:rsid w:val="009D5E87"/>
    <w:rsid w:val="009E12D3"/>
    <w:rsid w:val="009E3B32"/>
    <w:rsid w:val="009E6833"/>
    <w:rsid w:val="00A00841"/>
    <w:rsid w:val="00A048D0"/>
    <w:rsid w:val="00A05553"/>
    <w:rsid w:val="00A11583"/>
    <w:rsid w:val="00A11588"/>
    <w:rsid w:val="00A120D2"/>
    <w:rsid w:val="00A162E5"/>
    <w:rsid w:val="00A6174F"/>
    <w:rsid w:val="00A76C3D"/>
    <w:rsid w:val="00A812AF"/>
    <w:rsid w:val="00A820ED"/>
    <w:rsid w:val="00A90055"/>
    <w:rsid w:val="00AA6125"/>
    <w:rsid w:val="00AB4E3A"/>
    <w:rsid w:val="00AF5CE4"/>
    <w:rsid w:val="00B02F68"/>
    <w:rsid w:val="00B05AD4"/>
    <w:rsid w:val="00B05ED6"/>
    <w:rsid w:val="00B07B46"/>
    <w:rsid w:val="00B10ECB"/>
    <w:rsid w:val="00B11A54"/>
    <w:rsid w:val="00B14818"/>
    <w:rsid w:val="00B2329D"/>
    <w:rsid w:val="00B56959"/>
    <w:rsid w:val="00B72F9E"/>
    <w:rsid w:val="00B74896"/>
    <w:rsid w:val="00B9684A"/>
    <w:rsid w:val="00BA6EDA"/>
    <w:rsid w:val="00BB22C8"/>
    <w:rsid w:val="00BB49D5"/>
    <w:rsid w:val="00BB7062"/>
    <w:rsid w:val="00BC0B38"/>
    <w:rsid w:val="00BC2E1C"/>
    <w:rsid w:val="00BD3DB2"/>
    <w:rsid w:val="00BD4865"/>
    <w:rsid w:val="00BE6548"/>
    <w:rsid w:val="00BF0BA9"/>
    <w:rsid w:val="00BF14C7"/>
    <w:rsid w:val="00C066EE"/>
    <w:rsid w:val="00C1237F"/>
    <w:rsid w:val="00C13CAE"/>
    <w:rsid w:val="00C150DA"/>
    <w:rsid w:val="00C15FDA"/>
    <w:rsid w:val="00C20F4F"/>
    <w:rsid w:val="00C61588"/>
    <w:rsid w:val="00C86F30"/>
    <w:rsid w:val="00CA1AB4"/>
    <w:rsid w:val="00CA7B47"/>
    <w:rsid w:val="00CB2053"/>
    <w:rsid w:val="00CB3B4E"/>
    <w:rsid w:val="00CE6804"/>
    <w:rsid w:val="00D01F6B"/>
    <w:rsid w:val="00D02C60"/>
    <w:rsid w:val="00D21664"/>
    <w:rsid w:val="00D218C5"/>
    <w:rsid w:val="00D22E9F"/>
    <w:rsid w:val="00D447FB"/>
    <w:rsid w:val="00D473EB"/>
    <w:rsid w:val="00D53B6A"/>
    <w:rsid w:val="00D61B6D"/>
    <w:rsid w:val="00D769A0"/>
    <w:rsid w:val="00D8190C"/>
    <w:rsid w:val="00D96CAE"/>
    <w:rsid w:val="00DC2A55"/>
    <w:rsid w:val="00DD6525"/>
    <w:rsid w:val="00DE3B4E"/>
    <w:rsid w:val="00DF169E"/>
    <w:rsid w:val="00DF1D22"/>
    <w:rsid w:val="00DF1DFB"/>
    <w:rsid w:val="00E00A6D"/>
    <w:rsid w:val="00E01A50"/>
    <w:rsid w:val="00E06873"/>
    <w:rsid w:val="00E211CC"/>
    <w:rsid w:val="00E3308D"/>
    <w:rsid w:val="00E46CF8"/>
    <w:rsid w:val="00E47A77"/>
    <w:rsid w:val="00E47C7A"/>
    <w:rsid w:val="00E548E1"/>
    <w:rsid w:val="00E56A74"/>
    <w:rsid w:val="00E76039"/>
    <w:rsid w:val="00E83ECB"/>
    <w:rsid w:val="00E84956"/>
    <w:rsid w:val="00EC3052"/>
    <w:rsid w:val="00EE38C9"/>
    <w:rsid w:val="00EE756B"/>
    <w:rsid w:val="00EF384C"/>
    <w:rsid w:val="00F00115"/>
    <w:rsid w:val="00F07011"/>
    <w:rsid w:val="00F15CD3"/>
    <w:rsid w:val="00F2686A"/>
    <w:rsid w:val="00F35FDA"/>
    <w:rsid w:val="00F5260D"/>
    <w:rsid w:val="00F62078"/>
    <w:rsid w:val="00F67081"/>
    <w:rsid w:val="00F67797"/>
    <w:rsid w:val="00F7549D"/>
    <w:rsid w:val="00F7629D"/>
    <w:rsid w:val="00F77403"/>
    <w:rsid w:val="00F937F6"/>
    <w:rsid w:val="00FA149D"/>
    <w:rsid w:val="00FB3E0B"/>
    <w:rsid w:val="00FB602B"/>
    <w:rsid w:val="00FB7ADD"/>
    <w:rsid w:val="00FC331A"/>
    <w:rsid w:val="00FC3D54"/>
    <w:rsid w:val="00FE5B3F"/>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aliases w:val="Jsz_Alcím"/>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basedOn w:val="Bekezdsalapbettpusa"/>
    <w:rsid w:val="00B72F9E"/>
    <w:rPr>
      <w:color w:val="0000FF"/>
      <w:u w:val="single"/>
    </w:rPr>
  </w:style>
  <w:style w:type="paragraph" w:styleId="NormlWeb">
    <w:name w:val="Normal (Web)"/>
    <w:basedOn w:val="Norml"/>
    <w:uiPriority w:val="99"/>
    <w:rsid w:val="001F0F1C"/>
    <w:pPr>
      <w:ind w:firstLine="180"/>
      <w:jc w:val="both"/>
    </w:pPr>
    <w:rPr>
      <w:szCs w:val="24"/>
    </w:rPr>
  </w:style>
  <w:style w:type="paragraph" w:styleId="Jegyzetszveg">
    <w:name w:val="annotation text"/>
    <w:basedOn w:val="Norml"/>
    <w:link w:val="JegyzetszvegChar"/>
    <w:unhideWhenUsed/>
    <w:rsid w:val="001F0F1C"/>
    <w:rPr>
      <w:sz w:val="20"/>
    </w:rPr>
  </w:style>
  <w:style w:type="character" w:customStyle="1" w:styleId="JegyzetszvegChar">
    <w:name w:val="Jegyzetszöveg Char"/>
    <w:basedOn w:val="Bekezdsalapbettpusa"/>
    <w:link w:val="Jegyzetszveg"/>
    <w:rsid w:val="001F0F1C"/>
  </w:style>
  <w:style w:type="paragraph" w:styleId="Listaszerbekezds">
    <w:name w:val="List Paragraph"/>
    <w:basedOn w:val="Norml"/>
    <w:uiPriority w:val="34"/>
    <w:qFormat/>
    <w:rsid w:val="0036118E"/>
    <w:pPr>
      <w:ind w:left="720"/>
      <w:contextualSpacing/>
    </w:pPr>
  </w:style>
  <w:style w:type="paragraph" w:customStyle="1" w:styleId="StlusCmsor2KzprezrtEltte18ptUtna0ptSorkz">
    <w:name w:val="Stílus Címsor 2 + Középre zárt Előtte:  18 pt Utána:  0 pt Sorköz..."/>
    <w:basedOn w:val="Cmsor2"/>
    <w:rsid w:val="00BB7062"/>
    <w:pPr>
      <w:tabs>
        <w:tab w:val="num" w:pos="360"/>
      </w:tabs>
      <w:suppressAutoHyphens/>
      <w:spacing w:before="360" w:line="360" w:lineRule="auto"/>
      <w:ind w:left="360" w:hanging="360"/>
    </w:pPr>
    <w:rPr>
      <w:b w:val="0"/>
      <w:bCs/>
      <w:i/>
      <w:iCs/>
      <w:lang w:eastAsia="ar-SA"/>
    </w:rPr>
  </w:style>
  <w:style w:type="character" w:styleId="Jegyzethivatkozs">
    <w:name w:val="annotation reference"/>
    <w:basedOn w:val="Bekezdsalapbettpusa"/>
    <w:rsid w:val="00172A0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5616">
      <w:bodyDiv w:val="1"/>
      <w:marLeft w:val="0"/>
      <w:marRight w:val="0"/>
      <w:marTop w:val="0"/>
      <w:marBottom w:val="0"/>
      <w:divBdr>
        <w:top w:val="none" w:sz="0" w:space="0" w:color="auto"/>
        <w:left w:val="none" w:sz="0" w:space="0" w:color="auto"/>
        <w:bottom w:val="none" w:sz="0" w:space="0" w:color="auto"/>
        <w:right w:val="none" w:sz="0" w:space="0" w:color="auto"/>
      </w:divBdr>
    </w:div>
    <w:div w:id="597369296">
      <w:bodyDiv w:val="1"/>
      <w:marLeft w:val="0"/>
      <w:marRight w:val="0"/>
      <w:marTop w:val="0"/>
      <w:marBottom w:val="0"/>
      <w:divBdr>
        <w:top w:val="none" w:sz="0" w:space="0" w:color="auto"/>
        <w:left w:val="none" w:sz="0" w:space="0" w:color="auto"/>
        <w:bottom w:val="none" w:sz="0" w:space="0" w:color="auto"/>
        <w:right w:val="none" w:sz="0" w:space="0" w:color="auto"/>
      </w:divBdr>
    </w:div>
    <w:div w:id="752509330">
      <w:bodyDiv w:val="1"/>
      <w:marLeft w:val="0"/>
      <w:marRight w:val="0"/>
      <w:marTop w:val="0"/>
      <w:marBottom w:val="0"/>
      <w:divBdr>
        <w:top w:val="none" w:sz="0" w:space="0" w:color="auto"/>
        <w:left w:val="none" w:sz="0" w:space="0" w:color="auto"/>
        <w:bottom w:val="none" w:sz="0" w:space="0" w:color="auto"/>
        <w:right w:val="none" w:sz="0" w:space="0" w:color="auto"/>
      </w:divBdr>
    </w:div>
    <w:div w:id="907223803">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23D3-789B-4824-BE2A-80FC9B76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10814</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12357</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LakatosL</dc:creator>
  <cp:lastModifiedBy>LakatosL</cp:lastModifiedBy>
  <cp:revision>2</cp:revision>
  <cp:lastPrinted>2009-05-20T08:14:00Z</cp:lastPrinted>
  <dcterms:created xsi:type="dcterms:W3CDTF">2014-01-07T15:39:00Z</dcterms:created>
  <dcterms:modified xsi:type="dcterms:W3CDTF">2014-01-07T15:39:00Z</dcterms:modified>
</cp:coreProperties>
</file>