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5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bookmarkStart w:id="0" w:name="_GoBack"/>
      <w:bookmarkEnd w:id="0"/>
      <w:r w:rsidRPr="00F072B7">
        <w:rPr>
          <w:rFonts w:ascii="Times New Roman" w:hAnsi="Times New Roman"/>
          <w:b/>
          <w:noProof/>
          <w:sz w:val="28"/>
          <w:szCs w:val="24"/>
        </w:rPr>
        <w:t xml:space="preserve">Az Országos Környezetvédelmi Tanács </w:t>
      </w:r>
      <w:r w:rsidR="00F95A51" w:rsidRPr="00F072B7">
        <w:rPr>
          <w:rFonts w:ascii="Times New Roman" w:hAnsi="Times New Roman"/>
          <w:b/>
          <w:noProof/>
          <w:sz w:val="28"/>
          <w:szCs w:val="24"/>
        </w:rPr>
        <w:t xml:space="preserve">állásfoglalása </w:t>
      </w:r>
    </w:p>
    <w:p w:rsidR="00877EFF" w:rsidRPr="00F072B7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F072B7">
        <w:rPr>
          <w:rFonts w:ascii="Times New Roman" w:hAnsi="Times New Roman"/>
          <w:b/>
          <w:noProof/>
          <w:sz w:val="28"/>
          <w:szCs w:val="24"/>
        </w:rPr>
        <w:t xml:space="preserve"> </w:t>
      </w:r>
    </w:p>
    <w:p w:rsidR="00EE590F" w:rsidRPr="00EE590F" w:rsidRDefault="00EE590F" w:rsidP="00EE590F">
      <w:pPr>
        <w:jc w:val="center"/>
        <w:rPr>
          <w:b/>
        </w:rPr>
      </w:pPr>
      <w:r>
        <w:t xml:space="preserve"> </w:t>
      </w:r>
      <w:r w:rsidRPr="00EE590F">
        <w:rPr>
          <w:b/>
        </w:rPr>
        <w:t>„a védett és a fokozottan védett növény- és állatfajokról, a fokozottan védett barlangok köréről, valamint az Európai Közösségben természetvédelmi szempontból jelentős növény- és állatfajok közzétételéről szóló 13/2001. (V. 9.) KöM rendelet módosításáról” című terv</w:t>
      </w:r>
      <w:r w:rsidRPr="00EE590F">
        <w:rPr>
          <w:b/>
        </w:rPr>
        <w:t>e</w:t>
      </w:r>
      <w:r w:rsidRPr="00EE590F">
        <w:rPr>
          <w:b/>
        </w:rPr>
        <w:t>zethez.</w:t>
      </w:r>
    </w:p>
    <w:p w:rsidR="00EE590F" w:rsidRDefault="00EE590F" w:rsidP="00EE590F">
      <w:pPr>
        <w:jc w:val="both"/>
        <w:rPr>
          <w:color w:val="000000"/>
        </w:rPr>
      </w:pPr>
      <w:r>
        <w:rPr>
          <w:color w:val="000000"/>
        </w:rPr>
        <w:t>Az OKT elfogadja, hogy a</w:t>
      </w:r>
      <w:r w:rsidRPr="009D2D75">
        <w:rPr>
          <w:color w:val="000000"/>
        </w:rPr>
        <w:t xml:space="preserve"> hódok elterjedése miatt </w:t>
      </w:r>
      <w:r>
        <w:rPr>
          <w:color w:val="000000"/>
        </w:rPr>
        <w:t xml:space="preserve">egyes </w:t>
      </w:r>
      <w:r w:rsidRPr="009D2D75">
        <w:rPr>
          <w:color w:val="000000"/>
        </w:rPr>
        <w:t>hazai vízfolyások partja</w:t>
      </w:r>
      <w:r>
        <w:rPr>
          <w:color w:val="000000"/>
        </w:rPr>
        <w:t>i</w:t>
      </w:r>
      <w:r w:rsidRPr="009D2D75">
        <w:rPr>
          <w:color w:val="000000"/>
        </w:rPr>
        <w:t xml:space="preserve"> mentén lokál</w:t>
      </w:r>
      <w:r w:rsidRPr="009D2D75">
        <w:rPr>
          <w:color w:val="000000"/>
        </w:rPr>
        <w:t>i</w:t>
      </w:r>
      <w:r w:rsidRPr="009D2D75">
        <w:rPr>
          <w:color w:val="000000"/>
        </w:rPr>
        <w:t>s</w:t>
      </w:r>
      <w:r>
        <w:rPr>
          <w:color w:val="000000"/>
        </w:rPr>
        <w:t>an konfliktusok jelentkeznek</w:t>
      </w:r>
      <w:r w:rsidRPr="009D2D75">
        <w:rPr>
          <w:color w:val="000000"/>
        </w:rPr>
        <w:t xml:space="preserve"> és ezért a hódok állományának csökkentésére</w:t>
      </w:r>
      <w:r>
        <w:rPr>
          <w:color w:val="000000"/>
        </w:rPr>
        <w:t xml:space="preserve"> árvízvédelmi kö</w:t>
      </w:r>
      <w:r>
        <w:rPr>
          <w:color w:val="000000"/>
        </w:rPr>
        <w:t>z</w:t>
      </w:r>
      <w:r>
        <w:rPr>
          <w:color w:val="000000"/>
        </w:rPr>
        <w:t>érdek esetén</w:t>
      </w:r>
      <w:r w:rsidRPr="009D2D75">
        <w:rPr>
          <w:color w:val="000000"/>
        </w:rPr>
        <w:t xml:space="preserve"> hatósági eljárás keretében feltételeket kell adni. </w:t>
      </w:r>
      <w:r>
        <w:rPr>
          <w:color w:val="000000"/>
        </w:rPr>
        <w:t>Megítélésünk szerint a rendelet célja – egyes természetvédelmi érdekekkel nehezen magyarázható részeitől eltekintve (lásd az elpusztított egyedek származékainak hasznosítása) – a faj jelenlegi jogi státuszának módosítása nélkül is elérhető, tekintettel arra, hogy jelenleg is van hatóság által kiadott, érvényes engedély az árvízvédelemért felelős szervezet birtokában hódok gyérítésére, vagyis a gyakorlat igazolja, hogy a meglévő szabályozás elegendő. Ebből a perspektívából – noha az eurázsiai hód kártét</w:t>
      </w:r>
      <w:r>
        <w:rPr>
          <w:color w:val="000000"/>
        </w:rPr>
        <w:t>e</w:t>
      </w:r>
      <w:r>
        <w:rPr>
          <w:color w:val="000000"/>
        </w:rPr>
        <w:t>le lokálisan valóban jelentős lehet – le kell szögezni, hogy a rendelet nincs összhangban a te</w:t>
      </w:r>
      <w:r>
        <w:rPr>
          <w:color w:val="000000"/>
        </w:rPr>
        <w:t>r</w:t>
      </w:r>
      <w:r>
        <w:rPr>
          <w:color w:val="000000"/>
        </w:rPr>
        <w:t>mészetvédelmet érintő aktuális kihívásokkal, melyekre az előterjesztő Földművelésügyi Minis</w:t>
      </w:r>
      <w:r>
        <w:rPr>
          <w:color w:val="000000"/>
        </w:rPr>
        <w:t>z</w:t>
      </w:r>
      <w:r>
        <w:rPr>
          <w:color w:val="000000"/>
        </w:rPr>
        <w:t xml:space="preserve">tériumnak nagyobb hangsúlyt kellene fektetnie (pl. a nemzeti </w:t>
      </w:r>
      <w:proofErr w:type="gramStart"/>
      <w:r>
        <w:rPr>
          <w:color w:val="000000"/>
        </w:rPr>
        <w:t>park igazgatóságok</w:t>
      </w:r>
      <w:proofErr w:type="gramEnd"/>
      <w:r>
        <w:rPr>
          <w:color w:val="000000"/>
        </w:rPr>
        <w:t xml:space="preserve"> költségvetési helyzetének rendezetlen mivolta, az állami tulajdonú </w:t>
      </w:r>
      <w:proofErr w:type="spellStart"/>
      <w:r>
        <w:rPr>
          <w:color w:val="000000"/>
        </w:rPr>
        <w:t>Natura</w:t>
      </w:r>
      <w:proofErr w:type="spellEnd"/>
      <w:r>
        <w:rPr>
          <w:color w:val="000000"/>
        </w:rPr>
        <w:t xml:space="preserve"> 2000 területek magánkézbe ad</w:t>
      </w:r>
      <w:r>
        <w:rPr>
          <w:color w:val="000000"/>
        </w:rPr>
        <w:t>á</w:t>
      </w:r>
      <w:r>
        <w:rPr>
          <w:color w:val="000000"/>
        </w:rPr>
        <w:t>sának természetvédelmi problémái, vagy éppen a Magas Természeti Értékű Területek pro</w:t>
      </w:r>
      <w:r>
        <w:rPr>
          <w:color w:val="000000"/>
        </w:rPr>
        <w:t>g</w:t>
      </w:r>
      <w:r>
        <w:rPr>
          <w:color w:val="000000"/>
        </w:rPr>
        <w:t>ramjának ellehetetlenítése). A tervezet egyben veszélyes precedenst teremt, azáltal, hogy egy nem kellően alátámasztott igényt próbál kielégíteni egy védett faj státuszának megváltoztat</w:t>
      </w:r>
      <w:r>
        <w:rPr>
          <w:color w:val="000000"/>
        </w:rPr>
        <w:t>á</w:t>
      </w:r>
      <w:r>
        <w:rPr>
          <w:color w:val="000000"/>
        </w:rPr>
        <w:t>sával. Mindezek miatt az OKT nem látja indokoltnak a jelenlegi szabályozás módosítását.</w:t>
      </w:r>
    </w:p>
    <w:p w:rsidR="00EE590F" w:rsidRPr="009D2D75" w:rsidRDefault="00EE590F" w:rsidP="00EE590F">
      <w:pPr>
        <w:jc w:val="both"/>
        <w:rPr>
          <w:color w:val="000000"/>
        </w:rPr>
      </w:pPr>
      <w:r w:rsidRPr="009D2D75">
        <w:rPr>
          <w:color w:val="000000"/>
        </w:rPr>
        <w:t>A</w:t>
      </w:r>
      <w:r>
        <w:rPr>
          <w:color w:val="000000"/>
        </w:rPr>
        <w:t>rra az esetre, ha a</w:t>
      </w:r>
      <w:r w:rsidRPr="009D2D75">
        <w:rPr>
          <w:color w:val="000000"/>
        </w:rPr>
        <w:t xml:space="preserve"> tervezet </w:t>
      </w:r>
      <w:r>
        <w:rPr>
          <w:color w:val="000000"/>
        </w:rPr>
        <w:t xml:space="preserve">mégis elfogadásra kerül, </w:t>
      </w:r>
      <w:r w:rsidRPr="009D2D75">
        <w:rPr>
          <w:color w:val="000000"/>
        </w:rPr>
        <w:t>az alábbi kiegészítések</w:t>
      </w:r>
      <w:r>
        <w:rPr>
          <w:color w:val="000000"/>
        </w:rPr>
        <w:t xml:space="preserve"> beépítését felté</w:t>
      </w:r>
      <w:r>
        <w:rPr>
          <w:color w:val="000000"/>
        </w:rPr>
        <w:t>t</w:t>
      </w:r>
      <w:r>
        <w:rPr>
          <w:color w:val="000000"/>
        </w:rPr>
        <w:t>lenül szükségesnek tartjuk (nem fontossági sorrendben):</w:t>
      </w:r>
    </w:p>
    <w:p w:rsidR="00EE590F" w:rsidRPr="00046985" w:rsidRDefault="00EE590F" w:rsidP="00EE590F">
      <w:pPr>
        <w:pStyle w:val="Listaszerbekezds"/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>
        <w:t>Az előterjesztés kommunikációja pontban szereplő magyarázatban nem értünk egyet azzal, hogy „h</w:t>
      </w:r>
      <w:r w:rsidRPr="006F17E0">
        <w:rPr>
          <w:color w:val="000000"/>
        </w:rPr>
        <w:t>atékony riasztási vagy passzív védekezési módszer nem ismert a nemze</w:t>
      </w:r>
      <w:r w:rsidRPr="006F17E0">
        <w:rPr>
          <w:color w:val="000000"/>
        </w:rPr>
        <w:t>t</w:t>
      </w:r>
      <w:r w:rsidRPr="006F17E0">
        <w:rPr>
          <w:color w:val="000000"/>
        </w:rPr>
        <w:t xml:space="preserve">közi gyakorlatban”. Ausztriában és Bajorországban sok módszert alkalmaznak, melyek </w:t>
      </w:r>
      <w:r>
        <w:rPr>
          <w:color w:val="000000"/>
        </w:rPr>
        <w:t xml:space="preserve">működőképessége </w:t>
      </w:r>
      <w:r w:rsidRPr="006F17E0">
        <w:rPr>
          <w:color w:val="000000"/>
        </w:rPr>
        <w:t xml:space="preserve">az évek során </w:t>
      </w:r>
      <w:r>
        <w:rPr>
          <w:color w:val="000000"/>
        </w:rPr>
        <w:t>bizonyítást nyert</w:t>
      </w:r>
      <w:r w:rsidRPr="006F17E0">
        <w:rPr>
          <w:color w:val="000000"/>
        </w:rPr>
        <w:t xml:space="preserve">. Ezek között a példányok befogása az utolsó megoldások között van, mert egy példány vagy hódcsalád befogása után ugyanazon a területen nagyon hamar újabb hód jelenhet meg, ha távoltartásra nem tesznek lépéseket. </w:t>
      </w:r>
      <w:r>
        <w:rPr>
          <w:color w:val="000000"/>
        </w:rPr>
        <w:t xml:space="preserve">A külföldi gyakorlatokról összefoglaló tanulmány készült a WWF szerkesztésében, mely elérhető az alábbi linken: </w:t>
      </w:r>
      <w:hyperlink r:id="rId9" w:history="1">
        <w:r w:rsidRPr="009D2D75">
          <w:rPr>
            <w:rStyle w:val="Hiperhivatkozs"/>
            <w:sz w:val="20"/>
          </w:rPr>
          <w:t>http://wwf.hu/media/file/1395941695_wwf_Hodkezeles_kiadvany_online_2013_WEBsize.pdf</w:t>
        </w:r>
      </w:hyperlink>
    </w:p>
    <w:p w:rsidR="00EE590F" w:rsidRPr="00350DFA" w:rsidRDefault="00EE590F" w:rsidP="00EE590F">
      <w:pPr>
        <w:ind w:left="360"/>
      </w:pPr>
    </w:p>
    <w:p w:rsidR="00EE590F" w:rsidRDefault="00EE590F" w:rsidP="00EE590F">
      <w:pPr>
        <w:pStyle w:val="Listaszerbekezds"/>
        <w:spacing w:after="200" w:line="276" w:lineRule="auto"/>
        <w:ind w:left="0"/>
        <w:contextualSpacing/>
        <w:jc w:val="both"/>
        <w:rPr>
          <w:color w:val="000000"/>
        </w:rPr>
      </w:pPr>
    </w:p>
    <w:p w:rsidR="00EE590F" w:rsidRPr="006F17E0" w:rsidRDefault="00EE590F" w:rsidP="00EE590F">
      <w:pPr>
        <w:pStyle w:val="Listaszerbekezds"/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Az egyedek </w:t>
      </w:r>
      <w:r w:rsidRPr="006F17E0">
        <w:rPr>
          <w:color w:val="000000"/>
        </w:rPr>
        <w:t>távoltartás</w:t>
      </w:r>
      <w:r>
        <w:rPr>
          <w:color w:val="000000"/>
        </w:rPr>
        <w:t>a</w:t>
      </w:r>
      <w:r w:rsidRPr="006F17E0">
        <w:rPr>
          <w:color w:val="000000"/>
        </w:rPr>
        <w:t xml:space="preserve"> és a gazdálkodói gyakorlat átalakítása egyaránt szükséges, csak ezek együttesen csökkenthetik a konfliktusokat a közvetlen vízparti területeken, ahol a hódrágások megjelenhetnek. </w:t>
      </w:r>
    </w:p>
    <w:p w:rsidR="00EE590F" w:rsidRDefault="00EE590F" w:rsidP="00EE590F">
      <w:pPr>
        <w:pStyle w:val="Listaszerbekezds"/>
        <w:numPr>
          <w:ilvl w:val="0"/>
          <w:numId w:val="6"/>
        </w:numPr>
        <w:spacing w:after="200" w:line="276" w:lineRule="auto"/>
        <w:contextualSpacing/>
        <w:jc w:val="both"/>
      </w:pPr>
      <w:r w:rsidRPr="006F17E0">
        <w:rPr>
          <w:color w:val="000000"/>
        </w:rPr>
        <w:t xml:space="preserve">A tervezet szerint „az engedélyezés </w:t>
      </w:r>
      <w:r w:rsidRPr="00A71834">
        <w:t>csak korlátozott és a hatóságok által meghatár</w:t>
      </w:r>
      <w:r w:rsidRPr="00A71834">
        <w:t>o</w:t>
      </w:r>
      <w:r w:rsidRPr="00A71834">
        <w:t>zott számú példányokra vonatkozhat</w:t>
      </w:r>
      <w:r>
        <w:t>”. A példányok számának meghatározása monito</w:t>
      </w:r>
      <w:r>
        <w:t>r</w:t>
      </w:r>
      <w:r>
        <w:t xml:space="preserve">ing adatok begyűjtésén, és a hódállomány pontos becslésén alapulhat. A hódok éves </w:t>
      </w:r>
      <w:proofErr w:type="spellStart"/>
      <w:r>
        <w:t>rendszerességű</w:t>
      </w:r>
      <w:proofErr w:type="spellEnd"/>
      <w:r>
        <w:t xml:space="preserve"> </w:t>
      </w:r>
      <w:proofErr w:type="spellStart"/>
      <w:r>
        <w:t>monitoringjára</w:t>
      </w:r>
      <w:proofErr w:type="spellEnd"/>
      <w:r>
        <w:t xml:space="preserve"> különösen a konfliktusos területeken szükség van. </w:t>
      </w:r>
    </w:p>
    <w:p w:rsidR="00EE590F" w:rsidRDefault="00EE590F" w:rsidP="00EE590F">
      <w:pPr>
        <w:pStyle w:val="Listaszerbekezds"/>
        <w:numPr>
          <w:ilvl w:val="0"/>
          <w:numId w:val="6"/>
        </w:numPr>
        <w:spacing w:after="200" w:line="276" w:lineRule="auto"/>
        <w:contextualSpacing/>
        <w:jc w:val="both"/>
      </w:pPr>
      <w:r>
        <w:rPr>
          <w:color w:val="000000"/>
        </w:rPr>
        <w:t xml:space="preserve">A szabályozás kapcsán fontosnak tartjuk hangsúlyozni, hogy a faj a természetes vízi ökoszisztémák része, ezért a védelmét és állományainak zavartalan szaporodását a természetes élőhelyeken, különösen a </w:t>
      </w:r>
      <w:proofErr w:type="spellStart"/>
      <w:r>
        <w:rPr>
          <w:color w:val="000000"/>
        </w:rPr>
        <w:t>Natura</w:t>
      </w:r>
      <w:proofErr w:type="spellEnd"/>
      <w:r>
        <w:rPr>
          <w:color w:val="000000"/>
        </w:rPr>
        <w:t xml:space="preserve"> 2000 hálózaton belül biztosítani kell. Ezért a jelen szabályozás mellett hatósági és természetvédelmi kezelői eszközökkel k</w:t>
      </w:r>
      <w:r>
        <w:rPr>
          <w:color w:val="000000"/>
        </w:rPr>
        <w:t>í</w:t>
      </w:r>
      <w:r>
        <w:rPr>
          <w:color w:val="000000"/>
        </w:rPr>
        <w:t>méleti területeket is létre kell hozni, ahol a faj által okozott esetleges gazdasági kár, i</w:t>
      </w:r>
      <w:r>
        <w:rPr>
          <w:color w:val="000000"/>
        </w:rPr>
        <w:t>l</w:t>
      </w:r>
      <w:r>
        <w:rPr>
          <w:color w:val="000000"/>
        </w:rPr>
        <w:t xml:space="preserve">letve természetes bolygatás sem riasztást, sem gyérítést nem von maga után. </w:t>
      </w:r>
    </w:p>
    <w:p w:rsidR="00EE590F" w:rsidRDefault="00EE590F" w:rsidP="00EE590F">
      <w:pPr>
        <w:pStyle w:val="Listaszerbekezds"/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A tervezet több helyen hivatkozik a közérdek fogalmára. Feltételezésünk szerint itt az árvízvédelmi közérdekre kell gondolni, de javasoljuk a fogalom egyértelműsítését. </w:t>
      </w:r>
    </w:p>
    <w:p w:rsidR="00EE590F" w:rsidRDefault="00EE590F" w:rsidP="00EE590F">
      <w:pPr>
        <w:pStyle w:val="Listaszerbekezds"/>
        <w:numPr>
          <w:ilvl w:val="0"/>
          <w:numId w:val="6"/>
        </w:numPr>
        <w:spacing w:after="200" w:line="276" w:lineRule="auto"/>
        <w:contextualSpacing/>
        <w:jc w:val="both"/>
      </w:pPr>
      <w:r>
        <w:t>Az előterjesztés szerint a gyérítést megfelelő képesítéssel rendelkező személy végezh</w:t>
      </w:r>
      <w:r>
        <w:t>e</w:t>
      </w:r>
      <w:r>
        <w:t>ti. Ebben a megfogalmazásban pontosítást látunk szükségesnek, mely leírja, hogy a k</w:t>
      </w:r>
      <w:r>
        <w:t>é</w:t>
      </w:r>
      <w:r>
        <w:t>pesítést milyen feltételek alapján és ki határozza, illetve adja meg.</w:t>
      </w:r>
    </w:p>
    <w:p w:rsidR="00EE590F" w:rsidRPr="006F17E0" w:rsidRDefault="00EE590F" w:rsidP="00EE590F">
      <w:pPr>
        <w:pStyle w:val="Listaszerbekezds"/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 w:rsidRPr="006F17E0">
        <w:rPr>
          <w:color w:val="000000"/>
        </w:rPr>
        <w:t>Az előterjesztés módosítási szövegében a 2 § (8a) pontjában szöveges kiegészítést j</w:t>
      </w:r>
      <w:r w:rsidRPr="006F17E0">
        <w:rPr>
          <w:color w:val="000000"/>
        </w:rPr>
        <w:t>a</w:t>
      </w:r>
      <w:r w:rsidRPr="006F17E0">
        <w:rPr>
          <w:color w:val="000000"/>
        </w:rPr>
        <w:t xml:space="preserve">vaslunk, mely megfogalmazza annak igényét, hogy a hódok távol tartására megtették </w:t>
      </w:r>
      <w:r>
        <w:rPr>
          <w:color w:val="000000"/>
        </w:rPr>
        <w:t xml:space="preserve">a </w:t>
      </w:r>
      <w:r w:rsidRPr="006F17E0">
        <w:rPr>
          <w:color w:val="000000"/>
        </w:rPr>
        <w:t>kísérleteket. A 2§ (8a) pontjának megfogalmazása javaslatunk szerint ez legyen:</w:t>
      </w:r>
    </w:p>
    <w:p w:rsidR="00EE590F" w:rsidRDefault="00EE590F" w:rsidP="00EE590F">
      <w:pPr>
        <w:pStyle w:val="Listaszerbekezds"/>
        <w:jc w:val="both"/>
        <w:rPr>
          <w:color w:val="000000"/>
        </w:rPr>
      </w:pPr>
      <w:r w:rsidRPr="006F17E0">
        <w:rPr>
          <w:color w:val="000000"/>
        </w:rPr>
        <w:t xml:space="preserve">Az eurázsiai hód </w:t>
      </w:r>
      <w:r w:rsidRPr="006F17E0">
        <w:rPr>
          <w:i/>
          <w:color w:val="000000"/>
        </w:rPr>
        <w:t xml:space="preserve">(Castor </w:t>
      </w:r>
      <w:proofErr w:type="spellStart"/>
      <w:r w:rsidRPr="006F17E0">
        <w:rPr>
          <w:i/>
          <w:color w:val="000000"/>
        </w:rPr>
        <w:t>fiber</w:t>
      </w:r>
      <w:proofErr w:type="spellEnd"/>
      <w:r w:rsidRPr="006F17E0">
        <w:rPr>
          <w:i/>
          <w:color w:val="000000"/>
        </w:rPr>
        <w:t>)</w:t>
      </w:r>
      <w:r w:rsidRPr="006F17E0">
        <w:rPr>
          <w:color w:val="000000"/>
        </w:rPr>
        <w:t xml:space="preserve"> riasztása, gyérítése, korlátozott számú példányra, az e</w:t>
      </w:r>
      <w:r w:rsidRPr="006F17E0">
        <w:rPr>
          <w:color w:val="000000"/>
        </w:rPr>
        <w:t>r</w:t>
      </w:r>
      <w:r w:rsidRPr="006F17E0">
        <w:rPr>
          <w:color w:val="000000"/>
        </w:rPr>
        <w:t xml:space="preserve">dő- és mezőgazdaságban, valamint a vízgazdálkodásban keletkezett </w:t>
      </w:r>
      <w:r>
        <w:rPr>
          <w:color w:val="000000"/>
        </w:rPr>
        <w:t>jelentős</w:t>
      </w:r>
      <w:r w:rsidRPr="006F17E0">
        <w:rPr>
          <w:color w:val="000000"/>
        </w:rPr>
        <w:t xml:space="preserve"> károk megelőzése</w:t>
      </w:r>
      <w:r>
        <w:rPr>
          <w:color w:val="000000"/>
        </w:rPr>
        <w:t xml:space="preserve"> </w:t>
      </w:r>
      <w:r w:rsidRPr="006F17E0">
        <w:rPr>
          <w:color w:val="000000"/>
        </w:rPr>
        <w:t>érdekében engedélyezhető, ha a kártétel bizonyítható, a hódo</w:t>
      </w:r>
      <w:r>
        <w:rPr>
          <w:color w:val="000000"/>
        </w:rPr>
        <w:t>k távol</w:t>
      </w:r>
      <w:r w:rsidRPr="006F17E0">
        <w:rPr>
          <w:color w:val="000000"/>
        </w:rPr>
        <w:t>tart</w:t>
      </w:r>
      <w:r w:rsidRPr="006F17E0">
        <w:rPr>
          <w:color w:val="000000"/>
        </w:rPr>
        <w:t>á</w:t>
      </w:r>
      <w:r w:rsidRPr="006F17E0">
        <w:rPr>
          <w:color w:val="000000"/>
        </w:rPr>
        <w:t xml:space="preserve">sára </w:t>
      </w:r>
      <w:r>
        <w:rPr>
          <w:color w:val="000000"/>
        </w:rPr>
        <w:t>intézkedést</w:t>
      </w:r>
      <w:r w:rsidRPr="006F17E0">
        <w:rPr>
          <w:color w:val="000000"/>
        </w:rPr>
        <w:t xml:space="preserve"> tettek, </w:t>
      </w:r>
      <w:r>
        <w:rPr>
          <w:color w:val="000000"/>
        </w:rPr>
        <w:t>amelynek s</w:t>
      </w:r>
      <w:r w:rsidRPr="006F17E0">
        <w:rPr>
          <w:color w:val="000000"/>
        </w:rPr>
        <w:t xml:space="preserve">ikertelenségét dokumentálták. </w:t>
      </w:r>
      <w:r>
        <w:rPr>
          <w:color w:val="000000"/>
        </w:rPr>
        <w:t>Gyérítés akkor v</w:t>
      </w:r>
      <w:r>
        <w:rPr>
          <w:color w:val="000000"/>
        </w:rPr>
        <w:t>é</w:t>
      </w:r>
      <w:r>
        <w:rPr>
          <w:color w:val="000000"/>
        </w:rPr>
        <w:t>gezhető, ha n</w:t>
      </w:r>
      <w:r w:rsidRPr="006F17E0">
        <w:rPr>
          <w:color w:val="000000"/>
        </w:rPr>
        <w:t>incs más kielégítő megoldás, amivel a hódok távol tarthatóak, és a gyér</w:t>
      </w:r>
      <w:r w:rsidRPr="006F17E0">
        <w:rPr>
          <w:color w:val="000000"/>
        </w:rPr>
        <w:t>í</w:t>
      </w:r>
      <w:r w:rsidRPr="006F17E0">
        <w:rPr>
          <w:color w:val="000000"/>
        </w:rPr>
        <w:t xml:space="preserve">tés nem jár a természetes </w:t>
      </w:r>
      <w:proofErr w:type="gramStart"/>
      <w:r w:rsidRPr="006F17E0">
        <w:rPr>
          <w:color w:val="000000"/>
        </w:rPr>
        <w:t>állomány tartós</w:t>
      </w:r>
      <w:proofErr w:type="gramEnd"/>
      <w:r w:rsidRPr="006F17E0">
        <w:rPr>
          <w:color w:val="000000"/>
        </w:rPr>
        <w:t xml:space="preserve"> sérelmével.</w:t>
      </w:r>
    </w:p>
    <w:p w:rsidR="00EE590F" w:rsidRDefault="00EE590F" w:rsidP="00EE590F">
      <w:pPr>
        <w:pStyle w:val="Listaszerbekezds"/>
        <w:jc w:val="both"/>
      </w:pPr>
      <w:r>
        <w:t xml:space="preserve">Megfontolásra javasoljuk a </w:t>
      </w:r>
      <w:r w:rsidRPr="004C6888">
        <w:rPr>
          <w:i/>
        </w:rPr>
        <w:t>„</w:t>
      </w:r>
      <w:r>
        <w:rPr>
          <w:i/>
        </w:rPr>
        <w:t>jelentős</w:t>
      </w:r>
      <w:r w:rsidRPr="004C6888">
        <w:rPr>
          <w:i/>
        </w:rPr>
        <w:t xml:space="preserve"> károk”</w:t>
      </w:r>
      <w:r>
        <w:t xml:space="preserve"> definíciójának megadását, mivel </w:t>
      </w:r>
      <w:proofErr w:type="gramStart"/>
      <w:r>
        <w:t>anélkül</w:t>
      </w:r>
      <w:proofErr w:type="gramEnd"/>
      <w:r>
        <w:t xml:space="preserve"> a hatósági engedélyezési eljárás során szubjektív mérlegelés alá kerülhet a károk mért</w:t>
      </w:r>
      <w:r>
        <w:t>é</w:t>
      </w:r>
      <w:r>
        <w:t>kének megállapítása.</w:t>
      </w:r>
    </w:p>
    <w:p w:rsidR="00EE590F" w:rsidRDefault="00EE590F" w:rsidP="00EE590F">
      <w:pPr>
        <w:pStyle w:val="Listaszerbekezds"/>
        <w:jc w:val="both"/>
      </w:pPr>
      <w:r>
        <w:t>A 2 § (8b) bekezdésében az előterjesztő a riasztás és a gyérítés engedélyezhetőségének feltételeit határozza meg, ugyanakkor megítélésünk szerint nem teljesen világos a f</w:t>
      </w:r>
      <w:r>
        <w:t>o</w:t>
      </w:r>
      <w:r>
        <w:t>lyamatban az érintett területen a vadászatra jogosult szerepe. A tervezet jelenlegi ta</w:t>
      </w:r>
      <w:r>
        <w:t>r</w:t>
      </w:r>
      <w:r>
        <w:t>talma szerint a riasztást, illetve gyérítést a terület tulajdonosával illetve jogszerű has</w:t>
      </w:r>
      <w:r>
        <w:t>z</w:t>
      </w:r>
      <w:r>
        <w:t>nálójával egyeztetve lehet végezni, de nem egyértelmű, hogy utóbbi kategóriába a v</w:t>
      </w:r>
      <w:r>
        <w:t>a</w:t>
      </w:r>
      <w:r>
        <w:t>dászatra jogosult beleértendő-e? Ennek tisztázása indokolt, mivel a gyérítés vadás</w:t>
      </w:r>
      <w:r>
        <w:t>z</w:t>
      </w:r>
      <w:r>
        <w:t>fegyverrel is engedélyezhető.</w:t>
      </w:r>
    </w:p>
    <w:p w:rsidR="00EE590F" w:rsidRDefault="00EE590F" w:rsidP="00EE590F">
      <w:pPr>
        <w:pStyle w:val="Listaszerbekezds"/>
        <w:jc w:val="both"/>
      </w:pPr>
    </w:p>
    <w:p w:rsidR="00EE590F" w:rsidRDefault="00EE590F" w:rsidP="00EE590F">
      <w:pPr>
        <w:pStyle w:val="Listaszerbekezds"/>
        <w:jc w:val="both"/>
      </w:pPr>
    </w:p>
    <w:p w:rsidR="00EE590F" w:rsidRDefault="00EE590F" w:rsidP="00EE590F">
      <w:pPr>
        <w:pStyle w:val="Listaszerbekezds"/>
        <w:jc w:val="both"/>
      </w:pPr>
    </w:p>
    <w:p w:rsidR="00EE590F" w:rsidRDefault="00EE590F" w:rsidP="00EE590F">
      <w:pPr>
        <w:pStyle w:val="Listaszerbekezds"/>
        <w:jc w:val="both"/>
      </w:pPr>
      <w:r>
        <w:lastRenderedPageBreak/>
        <w:t>Ugyanezen jogszabályi hely b) pontja a gyérítés éven belüli időszakát határozza meg. A faj szaporodásbiológiai jellemzőinek ismeretében megítélésünk szerint a március 1-ig engedélyezett gyérítés a szaporodási időszakot is érintheti, így ennek február 15-ére történő módosítását javasoljuk.</w:t>
      </w:r>
    </w:p>
    <w:p w:rsidR="00EE590F" w:rsidRPr="006F17E0" w:rsidRDefault="00EE590F" w:rsidP="00EE590F">
      <w:pPr>
        <w:pStyle w:val="Listaszerbekezds"/>
        <w:jc w:val="both"/>
        <w:rPr>
          <w:color w:val="000000"/>
        </w:rPr>
      </w:pPr>
      <w:r>
        <w:t>A 2 § (8b) bekezdésében az előterjesztő a riasztás és a gyérítés engedélyezhetőségének feltételeit határozza meg, ugyanakkor nem egyértelmű, hogy lehet-e eltérés a riasztás és a gyérítés engedélyezésének körülményei között. Ennek tisztázását megfontolásra javasoljuk.</w:t>
      </w:r>
    </w:p>
    <w:p w:rsidR="00EE590F" w:rsidRDefault="00EE590F" w:rsidP="00EE590F">
      <w:pPr>
        <w:pStyle w:val="Jegyzetszveg"/>
        <w:jc w:val="both"/>
      </w:pPr>
    </w:p>
    <w:p w:rsidR="008C7A75" w:rsidRDefault="008C7A75" w:rsidP="008C7A75">
      <w:pPr>
        <w:jc w:val="both"/>
        <w:rPr>
          <w:color w:val="000000"/>
        </w:rPr>
      </w:pPr>
    </w:p>
    <w:p w:rsidR="008C7A75" w:rsidRPr="008C7A75" w:rsidRDefault="00EE590F" w:rsidP="008C7A75">
      <w:pPr>
        <w:jc w:val="both"/>
        <w:rPr>
          <w:b/>
        </w:rPr>
      </w:pPr>
      <w:r>
        <w:rPr>
          <w:b/>
          <w:color w:val="000000"/>
        </w:rPr>
        <w:t>2017</w:t>
      </w:r>
      <w:r w:rsidR="00015E0D">
        <w:rPr>
          <w:b/>
          <w:color w:val="000000"/>
        </w:rPr>
        <w:t xml:space="preserve">. </w:t>
      </w:r>
      <w:r w:rsidR="00E860DA">
        <w:rPr>
          <w:b/>
          <w:color w:val="000000"/>
        </w:rPr>
        <w:t>Március</w:t>
      </w:r>
      <w:r>
        <w:rPr>
          <w:b/>
          <w:color w:val="000000"/>
        </w:rPr>
        <w:t xml:space="preserve"> 3</w:t>
      </w:r>
      <w:r w:rsidR="00015E0D">
        <w:rPr>
          <w:b/>
          <w:color w:val="000000"/>
        </w:rPr>
        <w:t>.</w:t>
      </w:r>
    </w:p>
    <w:p w:rsidR="008C7A75" w:rsidRDefault="008C7A75" w:rsidP="008C7A75">
      <w:pPr>
        <w:jc w:val="both"/>
      </w:pPr>
    </w:p>
    <w:p w:rsidR="00AC4C1C" w:rsidRPr="00877EFF" w:rsidRDefault="00AC4C1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C4C1C" w:rsidRPr="00877EFF" w:rsidSect="0049028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BC" w:rsidRDefault="00983DBC">
      <w:r>
        <w:separator/>
      </w:r>
    </w:p>
  </w:endnote>
  <w:endnote w:type="continuationSeparator" w:id="0">
    <w:p w:rsidR="00983DBC" w:rsidRDefault="009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6" w:rsidRDefault="000C2646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2646" w:rsidRDefault="000C26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:rsidR="000C2646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BC" w:rsidRDefault="00983DBC">
      <w:r>
        <w:separator/>
      </w:r>
    </w:p>
  </w:footnote>
  <w:footnote w:type="continuationSeparator" w:id="0">
    <w:p w:rsidR="00983DBC" w:rsidRDefault="0098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b/>
        <w:sz w:val="16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 w14:anchorId="6EA5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50506560" r:id="rId2"/>
      </w:objec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66C"/>
    <w:multiLevelType w:val="hybridMultilevel"/>
    <w:tmpl w:val="CC0C7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16F28"/>
    <w:multiLevelType w:val="hybridMultilevel"/>
    <w:tmpl w:val="670C9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6EA3"/>
    <w:multiLevelType w:val="hybridMultilevel"/>
    <w:tmpl w:val="5D589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DE"/>
    <w:rsid w:val="00002E7A"/>
    <w:rsid w:val="00004118"/>
    <w:rsid w:val="00015E0D"/>
    <w:rsid w:val="00065F6B"/>
    <w:rsid w:val="00075399"/>
    <w:rsid w:val="00075EA1"/>
    <w:rsid w:val="0009216F"/>
    <w:rsid w:val="000944CA"/>
    <w:rsid w:val="000A3415"/>
    <w:rsid w:val="000C2646"/>
    <w:rsid w:val="000E01B1"/>
    <w:rsid w:val="000E6716"/>
    <w:rsid w:val="001005B0"/>
    <w:rsid w:val="00131EE2"/>
    <w:rsid w:val="00151DA2"/>
    <w:rsid w:val="00171E47"/>
    <w:rsid w:val="001F7D8A"/>
    <w:rsid w:val="00227E0F"/>
    <w:rsid w:val="00254F0B"/>
    <w:rsid w:val="002620C8"/>
    <w:rsid w:val="002657A6"/>
    <w:rsid w:val="002919C5"/>
    <w:rsid w:val="002A3890"/>
    <w:rsid w:val="002F0456"/>
    <w:rsid w:val="003337DE"/>
    <w:rsid w:val="00353DF2"/>
    <w:rsid w:val="00490281"/>
    <w:rsid w:val="004B641B"/>
    <w:rsid w:val="0051054B"/>
    <w:rsid w:val="0052019F"/>
    <w:rsid w:val="00520B30"/>
    <w:rsid w:val="005334BA"/>
    <w:rsid w:val="00537C2C"/>
    <w:rsid w:val="00542968"/>
    <w:rsid w:val="00543E74"/>
    <w:rsid w:val="00575A19"/>
    <w:rsid w:val="00582875"/>
    <w:rsid w:val="00585995"/>
    <w:rsid w:val="00593F20"/>
    <w:rsid w:val="006021A7"/>
    <w:rsid w:val="0061443C"/>
    <w:rsid w:val="0062287C"/>
    <w:rsid w:val="006345BA"/>
    <w:rsid w:val="006424A9"/>
    <w:rsid w:val="0065458C"/>
    <w:rsid w:val="006660B1"/>
    <w:rsid w:val="006A2B8C"/>
    <w:rsid w:val="006E216A"/>
    <w:rsid w:val="006F21E3"/>
    <w:rsid w:val="00703AFC"/>
    <w:rsid w:val="00730DC3"/>
    <w:rsid w:val="00741D75"/>
    <w:rsid w:val="00756CF8"/>
    <w:rsid w:val="00773B17"/>
    <w:rsid w:val="007D0736"/>
    <w:rsid w:val="00807287"/>
    <w:rsid w:val="00845309"/>
    <w:rsid w:val="00871A1B"/>
    <w:rsid w:val="00877EFF"/>
    <w:rsid w:val="00893B7F"/>
    <w:rsid w:val="008B2236"/>
    <w:rsid w:val="008B7FFB"/>
    <w:rsid w:val="008C7A75"/>
    <w:rsid w:val="008D5728"/>
    <w:rsid w:val="008E00B8"/>
    <w:rsid w:val="008F21FB"/>
    <w:rsid w:val="00922738"/>
    <w:rsid w:val="00935DBB"/>
    <w:rsid w:val="009711DD"/>
    <w:rsid w:val="00983DBC"/>
    <w:rsid w:val="0098658F"/>
    <w:rsid w:val="00A0151F"/>
    <w:rsid w:val="00A12F8F"/>
    <w:rsid w:val="00A344FD"/>
    <w:rsid w:val="00A45BC1"/>
    <w:rsid w:val="00A75EC2"/>
    <w:rsid w:val="00A8359A"/>
    <w:rsid w:val="00A95153"/>
    <w:rsid w:val="00AB7109"/>
    <w:rsid w:val="00AC4C1C"/>
    <w:rsid w:val="00B16E0D"/>
    <w:rsid w:val="00B40666"/>
    <w:rsid w:val="00B6096D"/>
    <w:rsid w:val="00B67BE3"/>
    <w:rsid w:val="00BB44AB"/>
    <w:rsid w:val="00BE51F4"/>
    <w:rsid w:val="00BF5125"/>
    <w:rsid w:val="00C23760"/>
    <w:rsid w:val="00C43AC0"/>
    <w:rsid w:val="00C70B75"/>
    <w:rsid w:val="00C84168"/>
    <w:rsid w:val="00CA7A16"/>
    <w:rsid w:val="00CB4F1F"/>
    <w:rsid w:val="00CF5D9F"/>
    <w:rsid w:val="00D43910"/>
    <w:rsid w:val="00DA6147"/>
    <w:rsid w:val="00DB0971"/>
    <w:rsid w:val="00DF4052"/>
    <w:rsid w:val="00E12E6F"/>
    <w:rsid w:val="00E145A6"/>
    <w:rsid w:val="00E43500"/>
    <w:rsid w:val="00E464C7"/>
    <w:rsid w:val="00E860DA"/>
    <w:rsid w:val="00EA75B1"/>
    <w:rsid w:val="00EB2C4B"/>
    <w:rsid w:val="00ED27AC"/>
    <w:rsid w:val="00ED6676"/>
    <w:rsid w:val="00EE1BB2"/>
    <w:rsid w:val="00EE590F"/>
    <w:rsid w:val="00F072B7"/>
    <w:rsid w:val="00F12BA3"/>
    <w:rsid w:val="00F42102"/>
    <w:rsid w:val="00F429BF"/>
    <w:rsid w:val="00F52EDC"/>
    <w:rsid w:val="00F55E84"/>
    <w:rsid w:val="00F920A2"/>
    <w:rsid w:val="00F95A51"/>
    <w:rsid w:val="00FB565E"/>
    <w:rsid w:val="00FC735C"/>
    <w:rsid w:val="00FC777A"/>
    <w:rsid w:val="00FE0711"/>
    <w:rsid w:val="00FE0BC8"/>
    <w:rsid w:val="00FE533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EE5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f.hu/media/file/1395941695_wwf_Hodkezeles_kiadvany_online_2013_WEBsize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294B-2BDB-4748-A7A9-B85D865B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LakatosL</cp:lastModifiedBy>
  <cp:revision>2</cp:revision>
  <cp:lastPrinted>2016-03-07T14:20:00Z</cp:lastPrinted>
  <dcterms:created xsi:type="dcterms:W3CDTF">2017-03-08T18:29:00Z</dcterms:created>
  <dcterms:modified xsi:type="dcterms:W3CDTF">2017-03-08T18:29:00Z</dcterms:modified>
</cp:coreProperties>
</file>